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A4" w:rsidRPr="004D3999" w:rsidRDefault="00B02CA4" w:rsidP="00B02CA4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</w:p>
    <w:p w:rsidR="00B02CA4" w:rsidRPr="004D3999" w:rsidRDefault="00B02CA4" w:rsidP="00B02CA4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UNIVERSIDAD DE COSTA RICA</w:t>
      </w:r>
    </w:p>
    <w:p w:rsidR="00B02CA4" w:rsidRPr="004D3999" w:rsidRDefault="00E154AE" w:rsidP="00B02CA4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CARRERA</w:t>
      </w:r>
      <w:r w:rsidR="00B02CA4" w:rsidRPr="004D3999">
        <w:rPr>
          <w:rFonts w:ascii="Arial" w:hAnsi="Arial" w:cs="Arial"/>
          <w:sz w:val="22"/>
          <w:szCs w:val="22"/>
          <w:u w:val="none"/>
        </w:rPr>
        <w:t xml:space="preserve"> DE DERECHO</w:t>
      </w:r>
    </w:p>
    <w:p w:rsidR="00E154AE" w:rsidRPr="004D3999" w:rsidRDefault="00E154AE" w:rsidP="00B02CA4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SEDE DE OCCIDENTE</w:t>
      </w:r>
    </w:p>
    <w:p w:rsidR="00B02CA4" w:rsidRPr="004D3999" w:rsidRDefault="00B02CA4" w:rsidP="00B02CA4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</w:p>
    <w:p w:rsidR="00B02CA4" w:rsidRPr="004D3999" w:rsidRDefault="00B02CA4" w:rsidP="00B02CA4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PROGRAMA DEL CURSO</w:t>
      </w:r>
    </w:p>
    <w:p w:rsidR="00B02CA4" w:rsidRPr="004D3999" w:rsidRDefault="00B02CA4" w:rsidP="00B02CA4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DE-</w:t>
      </w:r>
      <w:r w:rsidR="00A93AF8" w:rsidRPr="004D3999">
        <w:rPr>
          <w:rFonts w:ascii="Arial" w:hAnsi="Arial" w:cs="Arial"/>
          <w:sz w:val="22"/>
          <w:szCs w:val="22"/>
          <w:u w:val="none"/>
        </w:rPr>
        <w:t>6002</w:t>
      </w:r>
    </w:p>
    <w:p w:rsidR="00B02CA4" w:rsidRPr="004D3999" w:rsidRDefault="00A93AF8" w:rsidP="00B02CA4">
      <w:pPr>
        <w:pStyle w:val="Sangradetextonormal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  <w:u w:val="none"/>
        </w:rPr>
        <w:t>DERECHO ADMINISTRATIVO III</w:t>
      </w:r>
    </w:p>
    <w:p w:rsidR="00B02CA4" w:rsidRPr="004D3999" w:rsidRDefault="00B02CA4" w:rsidP="00B02CA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16"/>
        <w:gridCol w:w="3097"/>
      </w:tblGrid>
      <w:tr w:rsidR="00B02CA4" w:rsidRPr="004D3999" w:rsidTr="00E8570E">
        <w:tc>
          <w:tcPr>
            <w:tcW w:w="3516" w:type="dxa"/>
            <w:shd w:val="clear" w:color="auto" w:fill="FFFFFF"/>
          </w:tcPr>
          <w:p w:rsidR="00B02CA4" w:rsidRPr="004D3999" w:rsidRDefault="00B02CA4" w:rsidP="00E857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Nivel de la carrera:</w:t>
            </w:r>
          </w:p>
          <w:p w:rsidR="00B02CA4" w:rsidRPr="004D3999" w:rsidRDefault="00B02CA4" w:rsidP="00E857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Créditos:</w:t>
            </w:r>
          </w:p>
          <w:p w:rsidR="00B02CA4" w:rsidRPr="004D3999" w:rsidRDefault="00B02CA4" w:rsidP="00E857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  <w:p w:rsidR="00B02CA4" w:rsidRPr="004D3999" w:rsidRDefault="00B02CA4" w:rsidP="00E857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Ciclo:</w:t>
            </w:r>
          </w:p>
          <w:p w:rsidR="00B02CA4" w:rsidRPr="004D3999" w:rsidRDefault="00B02CA4" w:rsidP="00E857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Requisitos y Correquisitos</w:t>
            </w:r>
            <w:r w:rsidR="00E64B9C" w:rsidRPr="004D399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097" w:type="dxa"/>
            <w:shd w:val="clear" w:color="auto" w:fill="FFFFFF"/>
          </w:tcPr>
          <w:p w:rsidR="00B02CA4" w:rsidRPr="004D3999" w:rsidRDefault="00B02CA4" w:rsidP="00E64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Tercer año</w:t>
            </w:r>
          </w:p>
          <w:p w:rsidR="00B02CA4" w:rsidRPr="004D3999" w:rsidRDefault="00FF358D" w:rsidP="00E8570E">
            <w:pPr>
              <w:ind w:left="97"/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B02CA4" w:rsidRPr="004D3999" w:rsidRDefault="00B02CA4" w:rsidP="00E8570E">
            <w:pPr>
              <w:ind w:left="97"/>
              <w:rPr>
                <w:rFonts w:ascii="Arial" w:eastAsia="Times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  <w:p w:rsidR="00B02CA4" w:rsidRPr="004D3999" w:rsidRDefault="00B02CA4" w:rsidP="00E8570E">
            <w:pPr>
              <w:ind w:left="64"/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eastAsia="Times" w:hAnsi="Arial" w:cs="Arial"/>
                <w:b/>
                <w:sz w:val="22"/>
                <w:szCs w:val="22"/>
              </w:rPr>
              <w:t xml:space="preserve"> </w:t>
            </w:r>
            <w:r w:rsidRPr="004D3999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:rsidR="00B02CA4" w:rsidRPr="004D3999" w:rsidRDefault="00B02CA4" w:rsidP="00E64B9C">
            <w:pPr>
              <w:ind w:left="64"/>
              <w:rPr>
                <w:rFonts w:ascii="Arial" w:hAnsi="Arial" w:cs="Arial"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DE-</w:t>
            </w:r>
            <w:r w:rsidR="00E64B9C" w:rsidRPr="004D3999">
              <w:rPr>
                <w:rFonts w:ascii="Arial" w:hAnsi="Arial" w:cs="Arial"/>
                <w:b/>
                <w:sz w:val="22"/>
                <w:szCs w:val="22"/>
              </w:rPr>
              <w:t>6001</w:t>
            </w:r>
          </w:p>
        </w:tc>
      </w:tr>
    </w:tbl>
    <w:p w:rsidR="00B02CA4" w:rsidRPr="004D3999" w:rsidRDefault="00B02CA4" w:rsidP="002808CE">
      <w:pPr>
        <w:pStyle w:val="Sangradetextonormal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eastAsia="Courier New" w:hAnsi="Arial" w:cs="Arial"/>
          <w:sz w:val="22"/>
          <w:szCs w:val="22"/>
          <w:u w:val="none"/>
        </w:rPr>
        <w:t xml:space="preserve"> </w:t>
      </w:r>
      <w:r w:rsidR="00E64B9C" w:rsidRPr="004D3999">
        <w:rPr>
          <w:rFonts w:ascii="Arial" w:eastAsia="Courier New" w:hAnsi="Arial" w:cs="Arial"/>
          <w:sz w:val="22"/>
          <w:szCs w:val="22"/>
          <w:u w:val="none"/>
        </w:rPr>
        <w:t xml:space="preserve">  </w:t>
      </w:r>
      <w:r w:rsidR="00A93AF8" w:rsidRPr="004D3999">
        <w:rPr>
          <w:rFonts w:ascii="Arial" w:hAnsi="Arial" w:cs="Arial"/>
          <w:sz w:val="22"/>
          <w:szCs w:val="22"/>
          <w:u w:val="none"/>
        </w:rPr>
        <w:t>Do</w:t>
      </w:r>
      <w:r w:rsidR="00FF358D" w:rsidRPr="004D3999">
        <w:rPr>
          <w:rFonts w:ascii="Arial" w:hAnsi="Arial" w:cs="Arial"/>
          <w:sz w:val="22"/>
          <w:szCs w:val="22"/>
          <w:u w:val="none"/>
        </w:rPr>
        <w:t>cente: Dr. Jorge Córdoba Ortega (</w:t>
      </w:r>
      <w:r w:rsidR="00A93AF8" w:rsidRPr="004D3999">
        <w:rPr>
          <w:rFonts w:ascii="Arial" w:hAnsi="Arial" w:cs="Arial"/>
          <w:sz w:val="22"/>
          <w:szCs w:val="22"/>
          <w:u w:val="none"/>
        </w:rPr>
        <w:t xml:space="preserve"> </w:t>
      </w:r>
      <w:hyperlink r:id="rId7" w:history="1">
        <w:r w:rsidRPr="004D3999">
          <w:rPr>
            <w:rStyle w:val="Hipervnculo"/>
            <w:rFonts w:ascii="Arial" w:hAnsi="Arial" w:cs="Arial"/>
            <w:b w:val="0"/>
            <w:sz w:val="22"/>
            <w:szCs w:val="22"/>
            <w:u w:val="none"/>
          </w:rPr>
          <w:t>jorge.cordoba@ucr.ac.cr</w:t>
        </w:r>
      </w:hyperlink>
      <w:r w:rsidR="00FF358D" w:rsidRPr="004D3999">
        <w:rPr>
          <w:rStyle w:val="Hipervnculo"/>
          <w:rFonts w:ascii="Arial" w:hAnsi="Arial" w:cs="Arial"/>
          <w:b w:val="0"/>
          <w:sz w:val="22"/>
          <w:szCs w:val="22"/>
          <w:u w:val="none"/>
        </w:rPr>
        <w:t>)</w:t>
      </w:r>
      <w:r w:rsidRPr="004D3999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</w:p>
    <w:p w:rsidR="00B02CA4" w:rsidRPr="004D3999" w:rsidRDefault="00B02CA4" w:rsidP="00B02CA4">
      <w:pPr>
        <w:rPr>
          <w:rFonts w:ascii="Arial" w:hAnsi="Arial" w:cs="Arial"/>
          <w:sz w:val="22"/>
          <w:szCs w:val="22"/>
          <w:lang w:val="es-MX"/>
        </w:rPr>
      </w:pPr>
    </w:p>
    <w:p w:rsidR="00B02CA4" w:rsidRPr="004D3999" w:rsidRDefault="00B02CA4" w:rsidP="00FF358D">
      <w:pPr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Misión de la Facultad de Derecho (</w:t>
      </w:r>
      <w:r w:rsidRPr="004D3999">
        <w:rPr>
          <w:rStyle w:val="Caracteresdenotaalpie"/>
          <w:rFonts w:ascii="Arial" w:hAnsi="Arial" w:cs="Arial"/>
          <w:b/>
          <w:sz w:val="22"/>
          <w:szCs w:val="22"/>
        </w:rPr>
        <w:footnoteReference w:id="1"/>
      </w:r>
      <w:r w:rsidRPr="004D3999">
        <w:rPr>
          <w:rFonts w:ascii="Arial" w:hAnsi="Arial" w:cs="Arial"/>
          <w:b/>
          <w:sz w:val="22"/>
          <w:szCs w:val="22"/>
        </w:rPr>
        <w:t>)</w:t>
      </w:r>
    </w:p>
    <w:p w:rsidR="00B02CA4" w:rsidRPr="004D3999" w:rsidRDefault="00B02CA4" w:rsidP="00B02CA4">
      <w:pPr>
        <w:rPr>
          <w:rFonts w:ascii="Arial" w:hAnsi="Arial" w:cs="Arial"/>
          <w:sz w:val="22"/>
          <w:szCs w:val="22"/>
          <w:lang w:val="es-MX"/>
        </w:rPr>
      </w:pPr>
    </w:p>
    <w:p w:rsidR="00B02CA4" w:rsidRPr="004D3999" w:rsidRDefault="00B02CA4" w:rsidP="00B02CA4">
      <w:pPr>
        <w:tabs>
          <w:tab w:val="left" w:pos="8820"/>
        </w:tabs>
        <w:ind w:right="4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color w:val="000000"/>
          <w:sz w:val="22"/>
          <w:szCs w:val="22"/>
          <w:lang w:eastAsia="es-CR"/>
        </w:rPr>
        <w:t>La Facultad de Derecho de la Universidad d</w:t>
      </w:r>
      <w:r w:rsidR="002808CE" w:rsidRPr="004D3999">
        <w:rPr>
          <w:rFonts w:ascii="Arial" w:hAnsi="Arial" w:cs="Arial"/>
          <w:color w:val="000000"/>
          <w:sz w:val="22"/>
          <w:szCs w:val="22"/>
          <w:lang w:eastAsia="es-CR"/>
        </w:rPr>
        <w:t xml:space="preserve">e Costa Rica tiene como misión </w:t>
      </w:r>
      <w:r w:rsidRPr="004D3999">
        <w:rPr>
          <w:rFonts w:ascii="Arial" w:hAnsi="Arial" w:cs="Arial"/>
          <w:color w:val="000000"/>
          <w:sz w:val="22"/>
          <w:szCs w:val="22"/>
          <w:lang w:eastAsia="es-CR"/>
        </w:rPr>
        <w:t xml:space="preserve">ofrecer a los y las estudiantes una formación académica sólida, sustentada en la enseñanza del Derecho desde una perspectiva humanista y jurídica, comprometida con el desarrollo sostenible, el progreso social, económico y político del país. Esta formación permite no solo estimular un alto rendimiento académico en la docencia, investigación y acción social, sino un posicionamiento, que permite promover la competencia tanto a nivel nacional como internacional, en un mundo cada vez más exigente y globalizado. </w:t>
      </w:r>
    </w:p>
    <w:p w:rsidR="00B02CA4" w:rsidRPr="004D3999" w:rsidRDefault="00B02CA4" w:rsidP="00B02CA4">
      <w:pPr>
        <w:tabs>
          <w:tab w:val="left" w:pos="8820"/>
        </w:tabs>
        <w:ind w:left="567" w:right="654"/>
        <w:jc w:val="both"/>
        <w:rPr>
          <w:rFonts w:ascii="Arial" w:hAnsi="Arial" w:cs="Arial"/>
          <w:sz w:val="22"/>
          <w:szCs w:val="22"/>
        </w:rPr>
      </w:pPr>
    </w:p>
    <w:p w:rsidR="00E154AE" w:rsidRPr="004D3999" w:rsidRDefault="00E154AE" w:rsidP="00B02CA4">
      <w:pPr>
        <w:tabs>
          <w:tab w:val="left" w:pos="8820"/>
        </w:tabs>
        <w:ind w:left="567" w:right="654"/>
        <w:jc w:val="both"/>
        <w:rPr>
          <w:rFonts w:ascii="Arial" w:hAnsi="Arial" w:cs="Arial"/>
          <w:sz w:val="22"/>
          <w:szCs w:val="22"/>
        </w:rPr>
      </w:pPr>
    </w:p>
    <w:p w:rsidR="00B02CA4" w:rsidRPr="004D3999" w:rsidRDefault="00B02CA4" w:rsidP="00B02CA4">
      <w:pPr>
        <w:tabs>
          <w:tab w:val="left" w:pos="8820"/>
        </w:tabs>
        <w:ind w:left="567" w:right="654"/>
        <w:jc w:val="center"/>
        <w:rPr>
          <w:rFonts w:ascii="Arial" w:hAnsi="Arial" w:cs="Arial"/>
          <w:color w:val="000000"/>
          <w:sz w:val="22"/>
          <w:szCs w:val="22"/>
          <w:lang w:eastAsia="es-CR"/>
        </w:rPr>
      </w:pPr>
      <w:r w:rsidRPr="004D3999">
        <w:rPr>
          <w:rFonts w:ascii="Arial" w:hAnsi="Arial" w:cs="Arial"/>
          <w:b/>
          <w:sz w:val="22"/>
          <w:szCs w:val="22"/>
        </w:rPr>
        <w:t>Visión de la Facultad de Derecho (</w:t>
      </w:r>
      <w:r w:rsidRPr="004D3999">
        <w:rPr>
          <w:rStyle w:val="Caracteresdenotaalpie"/>
          <w:rFonts w:ascii="Arial" w:hAnsi="Arial" w:cs="Arial"/>
          <w:b/>
          <w:sz w:val="22"/>
          <w:szCs w:val="22"/>
        </w:rPr>
        <w:footnoteReference w:id="2"/>
      </w:r>
      <w:r w:rsidRPr="004D3999">
        <w:rPr>
          <w:rFonts w:ascii="Arial" w:hAnsi="Arial" w:cs="Arial"/>
          <w:b/>
          <w:sz w:val="22"/>
          <w:szCs w:val="22"/>
        </w:rPr>
        <w:t>)</w:t>
      </w:r>
    </w:p>
    <w:p w:rsidR="00B02CA4" w:rsidRPr="004D3999" w:rsidRDefault="00B02CA4" w:rsidP="00B02CA4">
      <w:pPr>
        <w:tabs>
          <w:tab w:val="left" w:pos="360"/>
        </w:tabs>
        <w:ind w:right="48"/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</w:p>
    <w:p w:rsidR="00B02CA4" w:rsidRPr="004D3999" w:rsidRDefault="00B02CA4" w:rsidP="00B02CA4">
      <w:pPr>
        <w:tabs>
          <w:tab w:val="left" w:pos="360"/>
        </w:tabs>
        <w:ind w:right="48"/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  <w:r w:rsidRPr="004D3999">
        <w:rPr>
          <w:rFonts w:ascii="Arial" w:hAnsi="Arial" w:cs="Arial"/>
          <w:color w:val="000000"/>
          <w:sz w:val="22"/>
          <w:szCs w:val="22"/>
          <w:lang w:eastAsia="es-CR"/>
        </w:rPr>
        <w:t>La Facultad de Derecho asume el compromiso de un desarrollo educativo con proyección internacional y en la realidad de las Ciencias Sociales, para ofrecer a la sociedad una calificada preparación académica de sus graduandos, con el mejoramiento del proceso enseñanza –aprendizaje, se produce una óptima integración para lograr, con mayor eficiencia y eficacia, la aplicación de las ciencias jurídicas de corte humanista, cuyos conocimientos, habilidades y destrezas jurídicas sean aplicadas  en el ámbito económico, político y social;  como profesionales humanistas, críticos y con capacidad transformadora de la realidad coyuntural del país.</w:t>
      </w:r>
    </w:p>
    <w:p w:rsidR="00B02CA4" w:rsidRPr="004D3999" w:rsidRDefault="00B02CA4" w:rsidP="00B02CA4">
      <w:pPr>
        <w:tabs>
          <w:tab w:val="left" w:pos="360"/>
        </w:tabs>
        <w:ind w:right="48"/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</w:p>
    <w:p w:rsidR="00B02CA4" w:rsidRPr="004D3999" w:rsidRDefault="00B02CA4" w:rsidP="00B02CA4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02CA4" w:rsidRPr="004D3999" w:rsidRDefault="00B02CA4" w:rsidP="00B02CA4">
      <w:pPr>
        <w:widowControl w:val="0"/>
        <w:jc w:val="center"/>
        <w:rPr>
          <w:rFonts w:ascii="Arial" w:hAnsi="Arial" w:cs="Arial"/>
          <w:sz w:val="22"/>
          <w:szCs w:val="22"/>
          <w:u w:val="single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lastRenderedPageBreak/>
        <w:t>DESCRIPCIÓN Y JUSTIFICACIÓN</w:t>
      </w:r>
    </w:p>
    <w:p w:rsidR="00B02CA4" w:rsidRPr="004D3999" w:rsidRDefault="00B02CA4" w:rsidP="00B02CA4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B02CA4" w:rsidRPr="004D3999" w:rsidRDefault="00E154AE" w:rsidP="00B02CA4">
      <w:pPr>
        <w:tabs>
          <w:tab w:val="left" w:pos="3435"/>
        </w:tabs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El curso de Derecho Administrativo III, continúa con el análisis de temas sustanciales y relevantes del Derecho Administrativo en general.  Con este curso se busca abordar grandes institutos como el dominio público </w:t>
      </w:r>
      <w:r w:rsidR="005F282D" w:rsidRPr="004D3999">
        <w:rPr>
          <w:rFonts w:ascii="Arial" w:hAnsi="Arial" w:cs="Arial"/>
          <w:sz w:val="22"/>
          <w:szCs w:val="22"/>
        </w:rPr>
        <w:t>y</w:t>
      </w:r>
      <w:r w:rsidRPr="004D3999">
        <w:rPr>
          <w:rFonts w:ascii="Arial" w:hAnsi="Arial" w:cs="Arial"/>
          <w:sz w:val="22"/>
          <w:szCs w:val="22"/>
        </w:rPr>
        <w:t xml:space="preserve"> régimen patrimonial del Estado, la responsabilidad de las Administraciones Públicas y de sus funcionarios, el ejercicio de una de las potestades de imperio más importante del Estado, como es la expropiatoria y el reconocimiento de los derechos de los particulares</w:t>
      </w:r>
      <w:r w:rsidR="005F282D" w:rsidRPr="004D3999">
        <w:rPr>
          <w:rFonts w:ascii="Arial" w:hAnsi="Arial" w:cs="Arial"/>
          <w:sz w:val="22"/>
          <w:szCs w:val="22"/>
        </w:rPr>
        <w:t xml:space="preserve"> en este ámbito</w:t>
      </w:r>
      <w:r w:rsidRPr="004D3999">
        <w:rPr>
          <w:rFonts w:ascii="Arial" w:hAnsi="Arial" w:cs="Arial"/>
          <w:sz w:val="22"/>
          <w:szCs w:val="22"/>
        </w:rPr>
        <w:t xml:space="preserve">. Finalmente estudiamos el tema de la función pública como manifestación de la organización administrativa, derechos y deberes de los funcionarios públicos. </w:t>
      </w:r>
    </w:p>
    <w:p w:rsidR="00B02CA4" w:rsidRPr="004D3999" w:rsidRDefault="00B02CA4" w:rsidP="00B02CA4">
      <w:pPr>
        <w:tabs>
          <w:tab w:val="left" w:pos="3435"/>
        </w:tabs>
        <w:jc w:val="both"/>
        <w:rPr>
          <w:rFonts w:ascii="Arial" w:hAnsi="Arial" w:cs="Arial"/>
          <w:sz w:val="22"/>
          <w:szCs w:val="22"/>
        </w:rPr>
      </w:pPr>
    </w:p>
    <w:p w:rsidR="00B02CA4" w:rsidRPr="004D3999" w:rsidRDefault="00B02CA4" w:rsidP="00B02CA4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02CA4" w:rsidRPr="004D3999" w:rsidRDefault="00B02CA4" w:rsidP="00B02CA4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OBJETIVO</w:t>
      </w:r>
      <w:r w:rsidR="005F282D" w:rsidRPr="004D3999">
        <w:rPr>
          <w:rFonts w:ascii="Arial" w:hAnsi="Arial" w:cs="Arial"/>
          <w:b/>
          <w:sz w:val="22"/>
          <w:szCs w:val="22"/>
          <w:u w:val="single"/>
        </w:rPr>
        <w:t xml:space="preserve"> GENERAL</w:t>
      </w:r>
    </w:p>
    <w:p w:rsidR="00B02CA4" w:rsidRPr="004D3999" w:rsidRDefault="00B02CA4" w:rsidP="00B02CA4">
      <w:pPr>
        <w:widowControl w:val="0"/>
        <w:rPr>
          <w:rFonts w:ascii="Arial" w:hAnsi="Arial" w:cs="Arial"/>
          <w:sz w:val="22"/>
          <w:szCs w:val="22"/>
        </w:rPr>
      </w:pPr>
    </w:p>
    <w:p w:rsidR="00B02CA4" w:rsidRPr="004D3999" w:rsidRDefault="00B02CA4" w:rsidP="00B02CA4">
      <w:pPr>
        <w:widowControl w:val="0"/>
        <w:rPr>
          <w:rFonts w:ascii="Arial" w:hAnsi="Arial" w:cs="Arial"/>
          <w:sz w:val="22"/>
          <w:szCs w:val="22"/>
        </w:rPr>
      </w:pPr>
    </w:p>
    <w:p w:rsidR="0032691F" w:rsidRPr="004D3999" w:rsidRDefault="0032691F" w:rsidP="0032691F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</w:t>
      </w:r>
      <w:r w:rsidRPr="004D3999">
        <w:rPr>
          <w:rFonts w:ascii="Arial" w:hAnsi="Arial" w:cs="Arial"/>
          <w:sz w:val="22"/>
          <w:szCs w:val="22"/>
        </w:rPr>
        <w:t xml:space="preserve">esarrollar varios de los institutos de mayor relevancia en el Derecho Administrativo, que se vinculan con su actividad y funciones propias, procurando un equilibrio en la relación entre Administraciones Públicas y administrados.  </w:t>
      </w:r>
    </w:p>
    <w:p w:rsidR="00B02CA4" w:rsidRPr="004D3999" w:rsidRDefault="00B02CA4" w:rsidP="005F282D">
      <w:pPr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B02CA4" w:rsidRPr="004D3999" w:rsidRDefault="00B02CA4" w:rsidP="0032691F">
      <w:pPr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  </w:t>
      </w:r>
    </w:p>
    <w:p w:rsidR="00B02CA4" w:rsidRPr="004D3999" w:rsidRDefault="00B02CA4" w:rsidP="005F282D">
      <w:pPr>
        <w:ind w:firstLine="708"/>
        <w:jc w:val="center"/>
        <w:rPr>
          <w:rFonts w:ascii="Arial" w:hAnsi="Arial" w:cs="Arial"/>
          <w:sz w:val="22"/>
          <w:szCs w:val="22"/>
          <w:u w:val="single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 xml:space="preserve">OBJETIVOS </w:t>
      </w:r>
      <w:r w:rsidR="005F282D" w:rsidRPr="004D3999">
        <w:rPr>
          <w:rFonts w:ascii="Arial" w:hAnsi="Arial" w:cs="Arial"/>
          <w:b/>
          <w:sz w:val="22"/>
          <w:szCs w:val="22"/>
          <w:u w:val="single"/>
        </w:rPr>
        <w:t>ESPECÍFICOS</w:t>
      </w:r>
    </w:p>
    <w:p w:rsidR="00B02CA4" w:rsidRPr="004D3999" w:rsidRDefault="00B02CA4" w:rsidP="00B02CA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32691F">
      <w:pPr>
        <w:ind w:left="426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  <w:t>El curso de Derecho Administrativo III tiene los siguientes objetivos:</w:t>
      </w:r>
    </w:p>
    <w:p w:rsidR="00A93AF8" w:rsidRPr="004D3999" w:rsidRDefault="00A93AF8" w:rsidP="0032691F">
      <w:pPr>
        <w:ind w:left="426"/>
        <w:rPr>
          <w:rFonts w:ascii="Arial" w:hAnsi="Arial" w:cs="Arial"/>
          <w:sz w:val="22"/>
          <w:szCs w:val="22"/>
        </w:rPr>
      </w:pP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Estudiar el concepto de dominio público en Costa Rica y sus características.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Identificar y conocer los distintos regímenes de dominio público, su fundamento y finalidad.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Analizar las facultades y medios jurídicos de la Administración Pública para proteger el dominio público, y su régimen sancionatorio.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Revisar la jurisprudencia contencioso administrativa y constitucional y las perspectivas actuales de la teoría del dominio público.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Valorar los distintos criterios doctrinales y normativos de la responsabilidad en Costa Rica.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Comprender y analizar los distintos tipos de responsabilidad de la Administración Pública y las particularidades de cada régimen.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Analizar la jurisprudencia en la materia y desarrollar la capacidad para juzgar y establecer los supuestos de responsabilidad y el eventual pago de daños y perjuicios, así como determinar las posibles causas eximentes.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Ponderar los alcances y los límites de la responsabilidad en nuestro país y sus problemas prácticos, y ensayar su aplicación en casos hipotéticos.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Evaluar el régimen de expropiación, sus principios y las garantías constitucionales.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Establecer los límites de la potestad expropiatoria del Estado.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lastRenderedPageBreak/>
        <w:t>Definir las particularidades del procedimiento de expropiación y del proceso de fijación de la indemnización justa.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Valorar los problemas actuales de los procesos expropiatorios y las críticas formuladas por la Administración Pública, mediante una revisión de casos concretos.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Fijar un concepto de funcionario público de conformidad a nuestra legislación.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Analizar el conjunto de derechos y obligaciones de los funcionarios públicos.</w:t>
      </w:r>
    </w:p>
    <w:p w:rsidR="00A93AF8" w:rsidRPr="004D3999" w:rsidRDefault="00A93AF8" w:rsidP="0032691F">
      <w:pPr>
        <w:numPr>
          <w:ilvl w:val="0"/>
          <w:numId w:val="15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Revisar el régimen de responsabilidad en la función pública. </w:t>
      </w:r>
    </w:p>
    <w:p w:rsidR="00B02CA4" w:rsidRPr="004D3999" w:rsidRDefault="00B02CA4" w:rsidP="0032691F">
      <w:pPr>
        <w:ind w:left="426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  </w:t>
      </w:r>
    </w:p>
    <w:p w:rsidR="00B02CA4" w:rsidRPr="004D3999" w:rsidRDefault="00B02CA4" w:rsidP="00B02CA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B02CA4" w:rsidRPr="004D3999" w:rsidRDefault="00B02CA4" w:rsidP="00B02CA4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CONTENIDOS</w:t>
      </w:r>
    </w:p>
    <w:p w:rsidR="00B02CA4" w:rsidRPr="004D3999" w:rsidRDefault="00B02CA4" w:rsidP="00B02CA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F282D" w:rsidRPr="004D3999" w:rsidRDefault="005F282D" w:rsidP="00A93AF8">
      <w:pPr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I:</w:t>
      </w:r>
      <w:r w:rsidRPr="004D3999">
        <w:rPr>
          <w:rFonts w:ascii="Arial" w:hAnsi="Arial" w:cs="Arial"/>
          <w:b/>
          <w:sz w:val="22"/>
          <w:szCs w:val="22"/>
        </w:rPr>
        <w:tab/>
        <w:t>EL DOMINIO PÚBLICO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A.</w:t>
      </w:r>
      <w:r w:rsidRPr="004D3999">
        <w:rPr>
          <w:rFonts w:ascii="Arial" w:hAnsi="Arial" w:cs="Arial"/>
          <w:b/>
          <w:i/>
          <w:sz w:val="22"/>
          <w:szCs w:val="22"/>
        </w:rPr>
        <w:tab/>
        <w:t>Teoría General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sz w:val="22"/>
          <w:szCs w:val="22"/>
        </w:rPr>
        <w:tab/>
        <w:t>Noción de Dominio Público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sz w:val="22"/>
          <w:szCs w:val="22"/>
        </w:rPr>
        <w:tab/>
        <w:t>Análisis en la doctrina y legislación comparada</w:t>
      </w:r>
    </w:p>
    <w:p w:rsidR="00A93AF8" w:rsidRPr="004D3999" w:rsidRDefault="00A93AF8" w:rsidP="00A93AF8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Evolución histórica y principales corrientes</w:t>
      </w:r>
    </w:p>
    <w:p w:rsidR="00A93AF8" w:rsidRPr="004D3999" w:rsidRDefault="00A93AF8" w:rsidP="00A93AF8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Concepto y clasificación de las cosas o bienes </w:t>
      </w:r>
    </w:p>
    <w:p w:rsidR="00A93AF8" w:rsidRPr="004D3999" w:rsidRDefault="00A93AF8" w:rsidP="00A93AF8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Notas particulares del dominio público</w:t>
      </w:r>
    </w:p>
    <w:p w:rsidR="00A93AF8" w:rsidRPr="004D3999" w:rsidRDefault="00A93AF8" w:rsidP="00A93AF8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Régimen de afectación y protección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B.</w:t>
      </w:r>
      <w:r w:rsidRPr="004D3999">
        <w:rPr>
          <w:rFonts w:ascii="Arial" w:hAnsi="Arial" w:cs="Arial"/>
          <w:b/>
          <w:i/>
          <w:sz w:val="22"/>
          <w:szCs w:val="22"/>
        </w:rPr>
        <w:tab/>
        <w:t>El Dominio Público en Costa Rica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sz w:val="22"/>
          <w:szCs w:val="22"/>
        </w:rPr>
        <w:tab/>
        <w:t>Introducción conceptual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Criterios de valoración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Criterio orgánico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Criterio funcional 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Régimen jurídico particular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sz w:val="22"/>
          <w:szCs w:val="22"/>
        </w:rPr>
        <w:tab/>
        <w:t>Régimen general del Dominio público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Antecedentes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Constitución Política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Particularidades de la protección constitucional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Principios desarrollados por la jurisprudencia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Régimen legislativo y alcances del Código Civil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La afectación de los bienes o cosas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Técnicas y medios de protección del dominio público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sz w:val="22"/>
          <w:szCs w:val="22"/>
        </w:rPr>
        <w:tab/>
        <w:t xml:space="preserve">Régimen especial del Dominio público 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natural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marítimo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Dominio público fluvial 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Dominio público minero 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forestal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aéreo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artificial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terrestre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ferroviario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inalámbrico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arqueológico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Dominio público cultural y arquitectónico</w:t>
      </w:r>
    </w:p>
    <w:p w:rsidR="00A93AF8" w:rsidRPr="004D3999" w:rsidRDefault="00A93AF8" w:rsidP="00A93AF8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II:</w:t>
      </w:r>
      <w:r w:rsidRPr="004D3999">
        <w:rPr>
          <w:rFonts w:ascii="Arial" w:hAnsi="Arial" w:cs="Arial"/>
          <w:b/>
          <w:sz w:val="22"/>
          <w:szCs w:val="22"/>
        </w:rPr>
        <w:tab/>
        <w:t>RESPONSABILIDAD DE LA ADMINISTRACIÓN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A.</w:t>
      </w:r>
      <w:r w:rsidRPr="004D3999">
        <w:rPr>
          <w:rFonts w:ascii="Arial" w:hAnsi="Arial" w:cs="Arial"/>
          <w:b/>
          <w:i/>
          <w:sz w:val="22"/>
          <w:szCs w:val="22"/>
        </w:rPr>
        <w:tab/>
        <w:t>Concepto de responsabilidad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sz w:val="22"/>
          <w:szCs w:val="22"/>
        </w:rPr>
        <w:tab/>
        <w:t>Nociones generales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sz w:val="22"/>
          <w:szCs w:val="22"/>
        </w:rPr>
        <w:tab/>
        <w:t>Perspectiva del Derecho privado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Distinción entre responsabilidad contractual y extracontractual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sz w:val="22"/>
          <w:szCs w:val="22"/>
        </w:rPr>
        <w:tab/>
        <w:t>Perspectiva del Derecho público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Irresponsabilidad de la Administración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Principio de responsabilidad.  Evolución 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Autonomía de reglas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B.</w:t>
      </w:r>
      <w:r w:rsidRPr="004D3999">
        <w:rPr>
          <w:rFonts w:ascii="Arial" w:hAnsi="Arial" w:cs="Arial"/>
          <w:b/>
          <w:i/>
          <w:sz w:val="22"/>
          <w:szCs w:val="22"/>
        </w:rPr>
        <w:tab/>
        <w:t>La Responsabilidad de la Administración en Costa Rica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sz w:val="22"/>
          <w:szCs w:val="22"/>
        </w:rPr>
        <w:tab/>
        <w:t xml:space="preserve">Fundamentos y antecedentes de la responsabilidad 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1765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La Constitución Política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Principio de responsabilidad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Garantías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Regulación legal: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Código Civil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Código Penal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Otras disposiciones legales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lastRenderedPageBreak/>
        <w:t>2.</w:t>
      </w:r>
      <w:r w:rsidRPr="004D3999">
        <w:rPr>
          <w:rFonts w:ascii="Arial" w:hAnsi="Arial" w:cs="Arial"/>
          <w:sz w:val="22"/>
          <w:szCs w:val="22"/>
        </w:rPr>
        <w:tab/>
        <w:t>Régimen jurídico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1765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Significación e importancia: principio sistematizador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Régimen común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Ámbito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Tipos de responsabilidad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Responsabilidad por conducta lícita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Responsabilidad por acto legislativo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Responsabilidad por conducta ilícita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Criterios para fijar la responsabilidad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Actuaciones de la Administración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Objeto de la responsabilidad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Reparación del daño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Principios y requisitos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Formas de indemnización y problemas prácticos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Limites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Sujetos de la relación 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Titular del derecho: particularidades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Titularidad en caso de muerte: herederos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Distintos tipos de interés (plural, colectivo, difuso)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El sujeto obligado: la Administración y el  principio de solidaridad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El Estado y los entes públicos: personalidad jurídica y personalidad instrumental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Pluralidad de entes y funcionarios responsables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Distribución y cúmulo de responsabilidad 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Acción de subrogación de la Administración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Otros supuestos de responsabilidad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Inactividad de la administración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Por administración de justicia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Responsabilidad contractual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En situaciones de emergencia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Daño ambiental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Por omisión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Por tratados internacionales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Condiciones de existencia de la responsabilidad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Acto productor del daño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Lesión (daño o perjuicio)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Relación de causalidad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Situación jurídicamente protegida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Requisitos de la responsabilidad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lastRenderedPageBreak/>
        <w:t>Características del daño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Relación de causalidad e imputación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Antijuridicidad y anormalidad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Limitaciones a los derechos y cargas razonables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Solidaridad y orden público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Vías para exigir la responsabilidad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Procedimiento administrativo</w:t>
      </w:r>
    </w:p>
    <w:p w:rsidR="00A93AF8" w:rsidRPr="004D3999" w:rsidRDefault="00A93AF8" w:rsidP="00A93AF8">
      <w:pPr>
        <w:numPr>
          <w:ilvl w:val="0"/>
          <w:numId w:val="8"/>
        </w:numPr>
        <w:suppressAutoHyphens w:val="0"/>
        <w:ind w:left="2484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Procesos judiciales 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C.</w:t>
      </w:r>
      <w:r w:rsidRPr="004D3999">
        <w:rPr>
          <w:rFonts w:ascii="Arial" w:hAnsi="Arial" w:cs="Arial"/>
          <w:b/>
          <w:i/>
          <w:sz w:val="22"/>
          <w:szCs w:val="22"/>
        </w:rPr>
        <w:tab/>
        <w:t>Análisis y evolución de la Jurisprudencia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sz w:val="22"/>
          <w:szCs w:val="22"/>
        </w:rPr>
        <w:tab/>
        <w:t>Jurisprudencia contencioso administrativa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Jurisprudencia constitucional</w:t>
      </w:r>
    </w:p>
    <w:p w:rsidR="00A93AF8" w:rsidRPr="004D3999" w:rsidRDefault="00A93AF8" w:rsidP="00A93AF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D.</w:t>
      </w:r>
      <w:r w:rsidRPr="004D3999">
        <w:rPr>
          <w:rFonts w:ascii="Arial" w:hAnsi="Arial" w:cs="Arial"/>
          <w:b/>
          <w:i/>
          <w:sz w:val="22"/>
          <w:szCs w:val="22"/>
        </w:rPr>
        <w:tab/>
        <w:t>Régimen de responsabilidad patrimonial del funcionario público y del funcionario de hecho</w:t>
      </w:r>
    </w:p>
    <w:p w:rsidR="00A93AF8" w:rsidRPr="004D3999" w:rsidRDefault="00A93AF8" w:rsidP="00A93AF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III:</w:t>
      </w:r>
      <w:r w:rsidRPr="004D3999">
        <w:rPr>
          <w:rFonts w:ascii="Arial" w:hAnsi="Arial" w:cs="Arial"/>
          <w:b/>
          <w:sz w:val="22"/>
          <w:szCs w:val="22"/>
        </w:rPr>
        <w:tab/>
        <w:t>REGIMEN DE EXPROPIACION EN COSTA RICA</w:t>
      </w:r>
      <w:r w:rsidRPr="004D3999">
        <w:rPr>
          <w:rFonts w:ascii="Arial" w:hAnsi="Arial" w:cs="Arial"/>
          <w:sz w:val="22"/>
          <w:szCs w:val="22"/>
        </w:rPr>
        <w:t xml:space="preserve"> 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</w:p>
    <w:p w:rsidR="00A93AF8" w:rsidRPr="004D3999" w:rsidRDefault="00A93AF8" w:rsidP="00A93AF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A.</w:t>
      </w:r>
      <w:r w:rsidRPr="004D3999">
        <w:rPr>
          <w:rFonts w:ascii="Arial" w:hAnsi="Arial" w:cs="Arial"/>
          <w:b/>
          <w:i/>
          <w:sz w:val="22"/>
          <w:szCs w:val="22"/>
        </w:rPr>
        <w:tab/>
        <w:t>Nociones generales sobre la expropiación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1. </w:t>
      </w:r>
      <w:r w:rsidRPr="004D3999">
        <w:rPr>
          <w:rFonts w:ascii="Arial" w:hAnsi="Arial" w:cs="Arial"/>
          <w:sz w:val="22"/>
          <w:szCs w:val="22"/>
        </w:rPr>
        <w:tab/>
        <w:t xml:space="preserve">Antecedentes y fundamento de la potestad expropiatoria 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2. </w:t>
      </w:r>
      <w:r w:rsidRPr="004D3999">
        <w:rPr>
          <w:rFonts w:ascii="Arial" w:hAnsi="Arial" w:cs="Arial"/>
          <w:sz w:val="22"/>
          <w:szCs w:val="22"/>
        </w:rPr>
        <w:tab/>
        <w:t>Objeto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Sujetos de la expropiación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4.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Utilidad pública</w:t>
      </w:r>
    </w:p>
    <w:p w:rsidR="00A93AF8" w:rsidRPr="004D3999" w:rsidRDefault="00A93AF8" w:rsidP="00A93AF8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Principio de especialidad</w:t>
      </w:r>
    </w:p>
    <w:p w:rsidR="00A93AF8" w:rsidRPr="004D3999" w:rsidRDefault="00A93AF8" w:rsidP="00A93AF8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Expropiación por zonas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5.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Régimen de garantías</w:t>
      </w:r>
    </w:p>
    <w:p w:rsidR="00A93AF8" w:rsidRPr="004D3999" w:rsidRDefault="00A93AF8" w:rsidP="00A93AF8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Procedimiento </w:t>
      </w:r>
    </w:p>
    <w:p w:rsidR="00A93AF8" w:rsidRPr="004D3999" w:rsidRDefault="00A93AF8" w:rsidP="00A93AF8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Principio indemnizatorio</w:t>
      </w:r>
    </w:p>
    <w:p w:rsidR="00A93AF8" w:rsidRPr="004D3999" w:rsidRDefault="00A93AF8" w:rsidP="00A93AF8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Reversión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B.</w:t>
      </w:r>
      <w:r w:rsidRPr="004D3999">
        <w:rPr>
          <w:rFonts w:ascii="Arial" w:hAnsi="Arial" w:cs="Arial"/>
          <w:b/>
          <w:i/>
          <w:sz w:val="22"/>
          <w:szCs w:val="22"/>
        </w:rPr>
        <w:tab/>
        <w:t>Régimen de expropiación en Costa Rica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 xml:space="preserve">Principio constitucional </w:t>
      </w:r>
    </w:p>
    <w:p w:rsidR="00A93AF8" w:rsidRPr="004D3999" w:rsidRDefault="00A93AF8" w:rsidP="00A93AF8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Artículo 45 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 xml:space="preserve">Régimen legislativo </w:t>
      </w:r>
    </w:p>
    <w:p w:rsidR="00A93AF8" w:rsidRPr="004D3999" w:rsidRDefault="00A93AF8" w:rsidP="00A93AF8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Principio de uniformidad</w:t>
      </w:r>
    </w:p>
    <w:p w:rsidR="00A93AF8" w:rsidRPr="004D3999" w:rsidRDefault="00A93AF8" w:rsidP="00A93AF8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Ley de Expropiaciones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 xml:space="preserve">Análisis crítico </w:t>
      </w:r>
    </w:p>
    <w:p w:rsidR="00A93AF8" w:rsidRPr="004D3999" w:rsidRDefault="00A93AF8" w:rsidP="00A93AF8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Problemas de la fijación del precio justo</w:t>
      </w:r>
    </w:p>
    <w:p w:rsidR="00A93AF8" w:rsidRPr="004D3999" w:rsidRDefault="00A93AF8" w:rsidP="00A93AF8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Procedimiento de expropiación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C.</w:t>
      </w:r>
      <w:r w:rsidRPr="004D3999">
        <w:rPr>
          <w:rFonts w:ascii="Arial" w:hAnsi="Arial" w:cs="Arial"/>
          <w:b/>
          <w:i/>
          <w:sz w:val="22"/>
          <w:szCs w:val="22"/>
        </w:rPr>
        <w:tab/>
        <w:t>Régimen de las limitaciones a la propiedad privada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1. 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 xml:space="preserve">Fundamento y garantía constitucional 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Concepto y alcances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Régimen de limitaciones y restricciones en Costa Rica</w:t>
      </w:r>
    </w:p>
    <w:p w:rsidR="00A93AF8" w:rsidRPr="004D3999" w:rsidRDefault="00A93AF8" w:rsidP="00A93AF8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Planificación Urbana</w:t>
      </w:r>
    </w:p>
    <w:p w:rsidR="00A93AF8" w:rsidRPr="004D3999" w:rsidRDefault="00A93AF8" w:rsidP="00A93AF8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Protección del ambiente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IV:</w:t>
      </w:r>
      <w:r w:rsidRPr="004D3999">
        <w:rPr>
          <w:rFonts w:ascii="Arial" w:hAnsi="Arial" w:cs="Arial"/>
          <w:b/>
          <w:sz w:val="22"/>
          <w:szCs w:val="22"/>
        </w:rPr>
        <w:tab/>
        <w:t>LA FUNCION PÚBLICA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numPr>
          <w:ilvl w:val="0"/>
          <w:numId w:val="10"/>
        </w:numPr>
        <w:tabs>
          <w:tab w:val="clear" w:pos="1065"/>
          <w:tab w:val="num" w:pos="709"/>
        </w:tabs>
        <w:suppressAutoHyphens w:val="0"/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Teoría General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1. 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Nociones generales</w:t>
      </w: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Concepciones de la función pública</w:t>
      </w:r>
    </w:p>
    <w:p w:rsidR="00A93AF8" w:rsidRPr="004D3999" w:rsidRDefault="00A93AF8" w:rsidP="00A93AF8">
      <w:pPr>
        <w:numPr>
          <w:ilvl w:val="0"/>
          <w:numId w:val="8"/>
        </w:numPr>
        <w:tabs>
          <w:tab w:val="num" w:pos="1750"/>
        </w:tabs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Relación contractual</w:t>
      </w:r>
    </w:p>
    <w:p w:rsidR="00A93AF8" w:rsidRPr="004D3999" w:rsidRDefault="00A93AF8" w:rsidP="00A93AF8">
      <w:pPr>
        <w:numPr>
          <w:ilvl w:val="0"/>
          <w:numId w:val="8"/>
        </w:numPr>
        <w:tabs>
          <w:tab w:val="num" w:pos="1750"/>
        </w:tabs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Relación estatutaria</w:t>
      </w:r>
    </w:p>
    <w:p w:rsidR="00A93AF8" w:rsidRPr="004D3999" w:rsidRDefault="00A93AF8" w:rsidP="00A93AF8">
      <w:pPr>
        <w:numPr>
          <w:ilvl w:val="0"/>
          <w:numId w:val="8"/>
        </w:numPr>
        <w:tabs>
          <w:tab w:val="num" w:pos="1750"/>
        </w:tabs>
        <w:suppressAutoHyphens w:val="0"/>
        <w:ind w:left="1769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Relación de servicio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numPr>
          <w:ilvl w:val="0"/>
          <w:numId w:val="10"/>
        </w:numPr>
        <w:tabs>
          <w:tab w:val="clear" w:pos="1065"/>
          <w:tab w:val="num" w:pos="709"/>
        </w:tabs>
        <w:suppressAutoHyphens w:val="0"/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Función Pública en Costa Rica</w:t>
      </w:r>
    </w:p>
    <w:p w:rsidR="00A93AF8" w:rsidRPr="004D3999" w:rsidRDefault="00A93AF8" w:rsidP="00A93AF8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1. 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Regulación Constitucional</w:t>
      </w:r>
    </w:p>
    <w:p w:rsidR="00A93AF8" w:rsidRPr="004D3999" w:rsidRDefault="00A93AF8" w:rsidP="00A93AF8">
      <w:pPr>
        <w:numPr>
          <w:ilvl w:val="2"/>
          <w:numId w:val="6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i/>
          <w:sz w:val="22"/>
          <w:szCs w:val="22"/>
        </w:rPr>
      </w:pPr>
      <w:r w:rsidRPr="004D3999">
        <w:rPr>
          <w:rFonts w:ascii="Arial" w:hAnsi="Arial" w:cs="Arial"/>
          <w:i/>
          <w:sz w:val="22"/>
          <w:szCs w:val="22"/>
        </w:rPr>
        <w:t>Principio estatutario</w:t>
      </w:r>
    </w:p>
    <w:p w:rsidR="00A93AF8" w:rsidRPr="004D3999" w:rsidRDefault="00A93AF8" w:rsidP="00A93AF8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Estatuto del Servicio Civil</w:t>
      </w:r>
    </w:p>
    <w:p w:rsidR="00A93AF8" w:rsidRPr="004D3999" w:rsidRDefault="00A93AF8" w:rsidP="00A93AF8">
      <w:pPr>
        <w:numPr>
          <w:ilvl w:val="2"/>
          <w:numId w:val="6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i/>
          <w:sz w:val="22"/>
          <w:szCs w:val="22"/>
        </w:rPr>
      </w:pPr>
      <w:r w:rsidRPr="004D3999">
        <w:rPr>
          <w:rFonts w:ascii="Arial" w:hAnsi="Arial" w:cs="Arial"/>
          <w:i/>
          <w:sz w:val="22"/>
          <w:szCs w:val="22"/>
        </w:rPr>
        <w:t>Ámbito</w:t>
      </w:r>
    </w:p>
    <w:p w:rsidR="00A93AF8" w:rsidRPr="004D3999" w:rsidRDefault="00A93AF8" w:rsidP="00A93AF8">
      <w:pPr>
        <w:numPr>
          <w:ilvl w:val="2"/>
          <w:numId w:val="6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i/>
          <w:sz w:val="22"/>
          <w:szCs w:val="22"/>
        </w:rPr>
      </w:pPr>
      <w:r w:rsidRPr="004D3999">
        <w:rPr>
          <w:rFonts w:ascii="Arial" w:hAnsi="Arial" w:cs="Arial"/>
          <w:i/>
          <w:sz w:val="22"/>
          <w:szCs w:val="22"/>
        </w:rPr>
        <w:t>Concepciones de la función pública</w:t>
      </w:r>
    </w:p>
    <w:p w:rsidR="00A93AF8" w:rsidRPr="004D3999" w:rsidRDefault="00A93AF8" w:rsidP="00A93AF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Otras regulaciones legales</w:t>
      </w:r>
    </w:p>
    <w:p w:rsidR="00A93AF8" w:rsidRPr="004D3999" w:rsidRDefault="00A93AF8" w:rsidP="00A93AF8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lastRenderedPageBreak/>
        <w:t>4.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Régimen de la LGAP</w:t>
      </w:r>
    </w:p>
    <w:p w:rsidR="00A93AF8" w:rsidRPr="004D3999" w:rsidRDefault="00A93AF8" w:rsidP="00A93AF8">
      <w:pPr>
        <w:numPr>
          <w:ilvl w:val="2"/>
          <w:numId w:val="6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Concepto de Funcionado Público </w:t>
      </w:r>
    </w:p>
    <w:p w:rsidR="00A93AF8" w:rsidRPr="004D3999" w:rsidRDefault="00A93AF8" w:rsidP="00A93AF8">
      <w:pPr>
        <w:numPr>
          <w:ilvl w:val="2"/>
          <w:numId w:val="7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Enfoque doctrinal </w:t>
      </w:r>
    </w:p>
    <w:p w:rsidR="00A93AF8" w:rsidRPr="004D3999" w:rsidRDefault="00A93AF8" w:rsidP="00A93AF8">
      <w:pPr>
        <w:numPr>
          <w:ilvl w:val="2"/>
          <w:numId w:val="7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Características de funcionario</w:t>
      </w:r>
    </w:p>
    <w:p w:rsidR="00A93AF8" w:rsidRPr="004D3999" w:rsidRDefault="00A93AF8" w:rsidP="00A93AF8">
      <w:pPr>
        <w:numPr>
          <w:ilvl w:val="2"/>
          <w:numId w:val="6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Criterios de la LGAP </w:t>
      </w:r>
    </w:p>
    <w:p w:rsidR="00A93AF8" w:rsidRPr="004D3999" w:rsidRDefault="00A93AF8" w:rsidP="00A93AF8">
      <w:pPr>
        <w:numPr>
          <w:ilvl w:val="2"/>
          <w:numId w:val="7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Nombramiento </w:t>
      </w:r>
    </w:p>
    <w:p w:rsidR="00A93AF8" w:rsidRPr="004D3999" w:rsidRDefault="00A93AF8" w:rsidP="00A93AF8">
      <w:pPr>
        <w:numPr>
          <w:ilvl w:val="2"/>
          <w:numId w:val="7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Relación de servicio </w:t>
      </w:r>
    </w:p>
    <w:p w:rsidR="00A93AF8" w:rsidRPr="004D3999" w:rsidRDefault="00A93AF8" w:rsidP="00A93AF8">
      <w:pPr>
        <w:numPr>
          <w:ilvl w:val="2"/>
          <w:numId w:val="7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Excepciones</w:t>
      </w:r>
    </w:p>
    <w:p w:rsidR="00A93AF8" w:rsidRPr="004D3999" w:rsidRDefault="00A93AF8" w:rsidP="00A93AF8">
      <w:pPr>
        <w:numPr>
          <w:ilvl w:val="2"/>
          <w:numId w:val="6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Funcionado de hecho </w:t>
      </w:r>
    </w:p>
    <w:p w:rsidR="00A93AF8" w:rsidRPr="004D3999" w:rsidRDefault="00A93AF8" w:rsidP="00A93AF8">
      <w:pPr>
        <w:numPr>
          <w:ilvl w:val="2"/>
          <w:numId w:val="7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Requisitos </w:t>
      </w:r>
    </w:p>
    <w:p w:rsidR="00A93AF8" w:rsidRPr="004D3999" w:rsidRDefault="00A93AF8" w:rsidP="00A93AF8">
      <w:pPr>
        <w:numPr>
          <w:ilvl w:val="2"/>
          <w:numId w:val="7"/>
        </w:numPr>
        <w:tabs>
          <w:tab w:val="num" w:pos="1800"/>
          <w:tab w:val="left" w:pos="23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Efectos jurídicos</w:t>
      </w:r>
    </w:p>
    <w:p w:rsidR="00A93AF8" w:rsidRPr="004D3999" w:rsidRDefault="00A93AF8" w:rsidP="00A93AF8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4.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Régimen de la Ley de Enriquecimiento Ilícito</w:t>
      </w:r>
    </w:p>
    <w:p w:rsidR="00A93AF8" w:rsidRPr="004D3999" w:rsidRDefault="00A93AF8" w:rsidP="00A93AF8">
      <w:pPr>
        <w:numPr>
          <w:ilvl w:val="2"/>
          <w:numId w:val="6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Concepto de funcionario</w:t>
      </w:r>
    </w:p>
    <w:p w:rsidR="00A93AF8" w:rsidRPr="004D3999" w:rsidRDefault="00A93AF8" w:rsidP="00A93AF8">
      <w:pPr>
        <w:numPr>
          <w:ilvl w:val="2"/>
          <w:numId w:val="6"/>
        </w:numPr>
        <w:tabs>
          <w:tab w:val="clear" w:pos="23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Efectos de la ley</w:t>
      </w:r>
    </w:p>
    <w:p w:rsidR="00A93AF8" w:rsidRPr="004D3999" w:rsidRDefault="00A93AF8" w:rsidP="00A93AF8">
      <w:pPr>
        <w:jc w:val="both"/>
        <w:rPr>
          <w:rFonts w:ascii="Arial" w:hAnsi="Arial" w:cs="Arial"/>
          <w:i/>
          <w:sz w:val="22"/>
          <w:szCs w:val="22"/>
        </w:rPr>
      </w:pPr>
    </w:p>
    <w:p w:rsidR="00A93AF8" w:rsidRPr="004D3999" w:rsidRDefault="00A93AF8" w:rsidP="00A93AF8">
      <w:pPr>
        <w:numPr>
          <w:ilvl w:val="0"/>
          <w:numId w:val="10"/>
        </w:numPr>
        <w:tabs>
          <w:tab w:val="clear" w:pos="1065"/>
          <w:tab w:val="num" w:pos="709"/>
        </w:tabs>
        <w:suppressAutoHyphens w:val="0"/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Criterios de Responsabilidad del Funcionario Público</w:t>
      </w:r>
    </w:p>
    <w:p w:rsidR="00A93AF8" w:rsidRPr="004D3999" w:rsidRDefault="00A93AF8" w:rsidP="00A93AF8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1.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Responsabilidad Civil</w:t>
      </w:r>
    </w:p>
    <w:p w:rsidR="00A93AF8" w:rsidRPr="004D3999" w:rsidRDefault="00A93AF8" w:rsidP="00A93AF8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2.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Responsabilidad Penal</w:t>
      </w:r>
    </w:p>
    <w:p w:rsidR="00A93AF8" w:rsidRPr="004D3999" w:rsidRDefault="00A93AF8" w:rsidP="00A93AF8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3.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Responsabilidad Disciplinaria</w:t>
      </w:r>
    </w:p>
    <w:p w:rsidR="00A93AF8" w:rsidRPr="004D3999" w:rsidRDefault="00A93AF8" w:rsidP="00A93AF8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ind w:left="70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4.</w:t>
      </w:r>
      <w:r w:rsidRPr="004D3999">
        <w:rPr>
          <w:rFonts w:ascii="Arial" w:hAnsi="Arial" w:cs="Arial"/>
          <w:b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 xml:space="preserve">Régimen disciplinario en el Estatuto Civil </w:t>
      </w:r>
    </w:p>
    <w:p w:rsidR="00A93AF8" w:rsidRPr="004D3999" w:rsidRDefault="00A93AF8" w:rsidP="00A93AF8">
      <w:pPr>
        <w:numPr>
          <w:ilvl w:val="2"/>
          <w:numId w:val="6"/>
        </w:numPr>
        <w:tabs>
          <w:tab w:val="clear" w:pos="2340"/>
          <w:tab w:val="num" w:pos="14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Tribunal de Servicio Civil </w:t>
      </w:r>
    </w:p>
    <w:p w:rsidR="00A93AF8" w:rsidRPr="004D3999" w:rsidRDefault="00A93AF8" w:rsidP="00A93AF8">
      <w:pPr>
        <w:numPr>
          <w:ilvl w:val="2"/>
          <w:numId w:val="6"/>
        </w:numPr>
        <w:tabs>
          <w:tab w:val="clear" w:pos="2340"/>
          <w:tab w:val="num" w:pos="1440"/>
          <w:tab w:val="num" w:pos="1800"/>
        </w:tabs>
        <w:suppressAutoHyphens w:val="0"/>
        <w:ind w:left="180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Tribunal de Carrera Docente</w:t>
      </w:r>
    </w:p>
    <w:p w:rsidR="00A93AF8" w:rsidRPr="004D3999" w:rsidRDefault="00A93AF8" w:rsidP="00A93AF8">
      <w:pPr>
        <w:tabs>
          <w:tab w:val="num" w:pos="1800"/>
        </w:tabs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numPr>
          <w:ilvl w:val="0"/>
          <w:numId w:val="10"/>
        </w:numPr>
        <w:tabs>
          <w:tab w:val="clear" w:pos="1065"/>
          <w:tab w:val="num" w:pos="709"/>
        </w:tabs>
        <w:suppressAutoHyphens w:val="0"/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4D3999">
        <w:rPr>
          <w:rFonts w:ascii="Arial" w:hAnsi="Arial" w:cs="Arial"/>
          <w:b/>
          <w:i/>
          <w:sz w:val="22"/>
          <w:szCs w:val="22"/>
        </w:rPr>
        <w:t>Criterios desarrollados por la Jurisprudencia</w:t>
      </w:r>
    </w:p>
    <w:p w:rsidR="00B02CA4" w:rsidRPr="004D3999" w:rsidRDefault="00B02CA4" w:rsidP="00B02CA4">
      <w:pPr>
        <w:keepNext/>
        <w:spacing w:before="240" w:after="60"/>
        <w:rPr>
          <w:rFonts w:ascii="Arial" w:hAnsi="Arial" w:cs="Arial"/>
          <w:b/>
          <w:bCs/>
          <w:sz w:val="22"/>
          <w:szCs w:val="22"/>
        </w:rPr>
      </w:pPr>
    </w:p>
    <w:p w:rsidR="00B02CA4" w:rsidRPr="004D3999" w:rsidRDefault="00B02CA4" w:rsidP="00B02CA4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METODOLOGÍA</w:t>
      </w:r>
    </w:p>
    <w:p w:rsidR="00B02CA4" w:rsidRPr="004D3999" w:rsidRDefault="00B02CA4" w:rsidP="00B02CA4">
      <w:pPr>
        <w:widowControl w:val="0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Cs/>
          <w:sz w:val="22"/>
          <w:szCs w:val="22"/>
        </w:rPr>
      </w:pPr>
      <w:r w:rsidRPr="004D3999">
        <w:rPr>
          <w:rFonts w:ascii="Arial" w:hAnsi="Arial" w:cs="Arial"/>
          <w:bCs/>
          <w:sz w:val="22"/>
          <w:szCs w:val="22"/>
        </w:rPr>
        <w:t xml:space="preserve">La metodología que se utilizará será una combinación de clases magistrales, discusión de lecturas obligatorias y análisis de normas jurídicas.    Cada profesor establecerá el orden y énfasis de las anteriores metodologías, en armonía con el sistema de evaluación que adopte.  </w:t>
      </w:r>
    </w:p>
    <w:p w:rsidR="00B02CA4" w:rsidRPr="004D3999" w:rsidRDefault="00B02CA4" w:rsidP="00B02CA4">
      <w:pPr>
        <w:widowControl w:val="0"/>
        <w:rPr>
          <w:rFonts w:ascii="Arial" w:hAnsi="Arial" w:cs="Arial"/>
          <w:sz w:val="22"/>
          <w:szCs w:val="22"/>
        </w:rPr>
      </w:pPr>
    </w:p>
    <w:p w:rsidR="00B02CA4" w:rsidRPr="004D3999" w:rsidRDefault="00B02CA4" w:rsidP="00B02CA4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EVALUACIÓN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Primer Examen Parcial </w:t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20%</w:t>
      </w: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Segundo Examen Parcial</w:t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20%</w:t>
      </w:r>
    </w:p>
    <w:p w:rsidR="004D3999" w:rsidRPr="00581F67" w:rsidRDefault="004D3999" w:rsidP="004D3999">
      <w:pPr>
        <w:jc w:val="both"/>
        <w:rPr>
          <w:rFonts w:ascii="Arial" w:hAnsi="Arial" w:cs="Arial"/>
          <w:i/>
          <w:sz w:val="20"/>
          <w:szCs w:val="20"/>
        </w:rPr>
      </w:pPr>
      <w:r w:rsidRPr="004D3999">
        <w:rPr>
          <w:rFonts w:ascii="Arial" w:hAnsi="Arial" w:cs="Arial"/>
          <w:sz w:val="22"/>
          <w:szCs w:val="22"/>
        </w:rPr>
        <w:lastRenderedPageBreak/>
        <w:t xml:space="preserve">Trabajo de Investigación </w:t>
      </w:r>
      <w:r w:rsidRPr="004D3999">
        <w:rPr>
          <w:rFonts w:ascii="Arial" w:hAnsi="Arial" w:cs="Arial"/>
          <w:sz w:val="22"/>
          <w:szCs w:val="22"/>
        </w:rPr>
        <w:tab/>
        <w:t xml:space="preserve">  </w:t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25%</w:t>
      </w:r>
      <w:r w:rsidRPr="004D3999">
        <w:rPr>
          <w:rFonts w:ascii="Arial" w:hAnsi="Arial" w:cs="Arial"/>
          <w:sz w:val="22"/>
          <w:szCs w:val="22"/>
        </w:rPr>
        <w:tab/>
      </w:r>
      <w:r w:rsidRPr="00581F67">
        <w:rPr>
          <w:rFonts w:ascii="Arial" w:hAnsi="Arial" w:cs="Arial"/>
          <w:i/>
          <w:sz w:val="20"/>
          <w:szCs w:val="20"/>
        </w:rPr>
        <w:t>(Escrito 15%, Esquema 5%, Exposición 5%).</w:t>
      </w: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Comprobación de lecturas, trabajo en clase y tareas</w:t>
      </w:r>
      <w:r w:rsidRPr="004D3999">
        <w:rPr>
          <w:rFonts w:ascii="Arial" w:hAnsi="Arial" w:cs="Arial"/>
          <w:sz w:val="22"/>
          <w:szCs w:val="22"/>
        </w:rPr>
        <w:tab/>
        <w:t xml:space="preserve"> </w:t>
      </w:r>
      <w:r w:rsidRPr="004D3999">
        <w:rPr>
          <w:rFonts w:ascii="Arial" w:hAnsi="Arial" w:cs="Arial"/>
          <w:sz w:val="22"/>
          <w:szCs w:val="22"/>
        </w:rPr>
        <w:tab/>
        <w:t>10%</w:t>
      </w: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Examen Final</w:t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3999">
        <w:rPr>
          <w:rFonts w:ascii="Arial" w:hAnsi="Arial" w:cs="Arial"/>
          <w:sz w:val="22"/>
          <w:szCs w:val="22"/>
        </w:rPr>
        <w:t>25%</w:t>
      </w: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</w:p>
    <w:p w:rsidR="005B3705" w:rsidRDefault="004D3999" w:rsidP="004D3999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Cada profesor podrá establecer formas de evaluación, sea por exámenes escritos u orales, trabajos de investigación, pruebas prácticas, concursos, debates y estudio y presentación de casos, investigación bibliográfica o jurisprudencial, entre otros.  A la vez, podrá dividir cada evaluación en distintas pruebas o exámenes, asignándoles un valor distinto dentro de los parámetros antes indicados.  Queda a criterio </w:t>
      </w:r>
    </w:p>
    <w:p w:rsidR="004D3999" w:rsidRPr="004D3999" w:rsidRDefault="004D3999" w:rsidP="004D3999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4D3999">
        <w:rPr>
          <w:rFonts w:ascii="Arial" w:hAnsi="Arial" w:cs="Arial"/>
          <w:sz w:val="22"/>
          <w:szCs w:val="22"/>
        </w:rPr>
        <w:t>del profesor eximir al estudiante de la evaluación final.  Al inicio del cada curso lectivo, el profesor informará a los estudiantes de la modalidad de evaluación que utilizará.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B02CA4" w:rsidRPr="004D3999" w:rsidRDefault="00B02CA4" w:rsidP="00B02CA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02CA4" w:rsidRPr="004D3999" w:rsidRDefault="00B02CA4" w:rsidP="00B02CA4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BIBLIOGRAFÍA</w:t>
      </w:r>
    </w:p>
    <w:p w:rsidR="00B02CA4" w:rsidRPr="004D3999" w:rsidRDefault="00B02CA4" w:rsidP="00B02CA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80268D" w:rsidRPr="004D3999" w:rsidRDefault="0080268D" w:rsidP="00B02CA4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LECTURAS OBLIGATORIAS.</w:t>
      </w:r>
    </w:p>
    <w:p w:rsidR="0080268D" w:rsidRPr="004D3999" w:rsidRDefault="0080268D" w:rsidP="00B02CA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B02CA4" w:rsidRPr="004D3999" w:rsidRDefault="0080268D" w:rsidP="00B02CA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Las siguientes son las lecturas obligatorias por temas:</w:t>
      </w:r>
    </w:p>
    <w:p w:rsidR="0080268D" w:rsidRPr="004D3999" w:rsidRDefault="0080268D" w:rsidP="00B02CA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TEMA </w:t>
      </w:r>
      <w:r w:rsidR="0080268D" w:rsidRPr="004D3999">
        <w:rPr>
          <w:rFonts w:ascii="Arial" w:hAnsi="Arial" w:cs="Arial"/>
          <w:b/>
          <w:sz w:val="22"/>
          <w:szCs w:val="22"/>
        </w:rPr>
        <w:t>I</w:t>
      </w:r>
      <w:r w:rsidRPr="004D3999">
        <w:rPr>
          <w:rFonts w:ascii="Arial" w:hAnsi="Arial" w:cs="Arial"/>
          <w:b/>
          <w:sz w:val="22"/>
          <w:szCs w:val="22"/>
        </w:rPr>
        <w:t>. DOMINIO PÚBLICO</w:t>
      </w:r>
    </w:p>
    <w:p w:rsidR="00A93AF8" w:rsidRPr="004D3999" w:rsidRDefault="00A93AF8" w:rsidP="00A93AF8">
      <w:pPr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numPr>
          <w:ilvl w:val="1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DROMI, JOSÉ ROBERTO. </w:t>
      </w:r>
      <w:r w:rsidRPr="004D3999">
        <w:rPr>
          <w:rFonts w:ascii="Arial" w:hAnsi="Arial" w:cs="Arial"/>
          <w:sz w:val="22"/>
          <w:szCs w:val="22"/>
          <w:u w:val="single"/>
        </w:rPr>
        <w:t>Derecho Administrativo</w:t>
      </w:r>
      <w:r w:rsidRPr="004D3999">
        <w:rPr>
          <w:rFonts w:ascii="Arial" w:hAnsi="Arial" w:cs="Arial"/>
          <w:sz w:val="22"/>
          <w:szCs w:val="22"/>
        </w:rPr>
        <w:t>. Tomo 2. Editorial Astrea, Buenos Aires, 1992, pp. 23 - 48.</w:t>
      </w: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ESCOLA, HÉCTOR JORGE. </w:t>
      </w:r>
      <w:r w:rsidRPr="004D3999">
        <w:rPr>
          <w:rFonts w:ascii="Arial" w:hAnsi="Arial" w:cs="Arial"/>
          <w:sz w:val="22"/>
          <w:szCs w:val="22"/>
          <w:u w:val="single"/>
        </w:rPr>
        <w:t>Compendio de Derecho Administrativo</w:t>
      </w:r>
      <w:r w:rsidRPr="004D3999">
        <w:rPr>
          <w:rFonts w:ascii="Arial" w:hAnsi="Arial" w:cs="Arial"/>
          <w:sz w:val="22"/>
          <w:szCs w:val="22"/>
        </w:rPr>
        <w:t>. Volumen II. Ediciones Depalma, Buenos Aires, 1990, pp. 971-1019.</w:t>
      </w: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CASTILLO VARGAS SARA. </w:t>
      </w:r>
      <w:r w:rsidRPr="004D3999">
        <w:rPr>
          <w:rFonts w:ascii="Arial" w:hAnsi="Arial" w:cs="Arial"/>
          <w:sz w:val="22"/>
          <w:szCs w:val="22"/>
          <w:u w:val="single"/>
        </w:rPr>
        <w:t>Patrimonio Histórico Arquitectónico: Una Nueva Legislación</w:t>
      </w:r>
      <w:r w:rsidRPr="004D3999">
        <w:rPr>
          <w:rFonts w:ascii="Arial" w:hAnsi="Arial" w:cs="Arial"/>
          <w:sz w:val="22"/>
          <w:szCs w:val="22"/>
        </w:rPr>
        <w:t>. En: “</w:t>
      </w:r>
      <w:r w:rsidRPr="004D3999">
        <w:rPr>
          <w:rFonts w:ascii="Arial" w:hAnsi="Arial" w:cs="Arial"/>
          <w:i/>
          <w:sz w:val="22"/>
          <w:szCs w:val="22"/>
        </w:rPr>
        <w:t>Revista Judicial</w:t>
      </w:r>
      <w:r w:rsidRPr="004D3999">
        <w:rPr>
          <w:rFonts w:ascii="Arial" w:hAnsi="Arial" w:cs="Arial"/>
          <w:sz w:val="22"/>
          <w:szCs w:val="22"/>
        </w:rPr>
        <w:t>”, Número 55, 1992, pp. 95-99.</w:t>
      </w:r>
    </w:p>
    <w:p w:rsidR="00A93AF8" w:rsidRPr="004D3999" w:rsidRDefault="00A93AF8" w:rsidP="00A93AF8">
      <w:pPr>
        <w:ind w:left="66"/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TEMA </w:t>
      </w:r>
      <w:r w:rsidR="0080268D" w:rsidRPr="004D3999">
        <w:rPr>
          <w:rFonts w:ascii="Arial" w:hAnsi="Arial" w:cs="Arial"/>
          <w:b/>
          <w:sz w:val="22"/>
          <w:szCs w:val="22"/>
        </w:rPr>
        <w:t>II</w:t>
      </w:r>
      <w:r w:rsidRPr="004D3999">
        <w:rPr>
          <w:rFonts w:ascii="Arial" w:hAnsi="Arial" w:cs="Arial"/>
          <w:b/>
          <w:sz w:val="22"/>
          <w:szCs w:val="22"/>
        </w:rPr>
        <w:t>: RESPONSABILIDAD DE LA ADMINISTRACIÓN</w:t>
      </w:r>
    </w:p>
    <w:p w:rsidR="00A93AF8" w:rsidRPr="004D3999" w:rsidRDefault="00A93AF8" w:rsidP="00A93AF8">
      <w:pPr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GARCÍA DE ENTERRÍA, EDUARDO. Y FERNÁNDEZ, TOMÁS RAMÓN. </w:t>
      </w:r>
      <w:r w:rsidRPr="004D3999">
        <w:rPr>
          <w:rFonts w:ascii="Arial" w:hAnsi="Arial" w:cs="Arial"/>
          <w:sz w:val="22"/>
          <w:szCs w:val="22"/>
          <w:u w:val="single"/>
        </w:rPr>
        <w:t>Curso de Derecho Administrativo</w:t>
      </w:r>
      <w:r w:rsidRPr="004D3999">
        <w:rPr>
          <w:rFonts w:ascii="Arial" w:hAnsi="Arial" w:cs="Arial"/>
          <w:sz w:val="22"/>
          <w:szCs w:val="22"/>
        </w:rPr>
        <w:t>. Tomo II. Editorial Civitas, Madrid, 1986, pp. 321-377.</w:t>
      </w: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ORTÍZ ORTÍZ, EDUARDO. </w:t>
      </w:r>
      <w:r w:rsidRPr="004D3999">
        <w:rPr>
          <w:rFonts w:ascii="Arial" w:hAnsi="Arial" w:cs="Arial"/>
          <w:sz w:val="22"/>
          <w:szCs w:val="22"/>
          <w:u w:val="single"/>
        </w:rPr>
        <w:t>Expropiación y responsabilidad pública</w:t>
      </w:r>
      <w:r w:rsidRPr="004D3999">
        <w:rPr>
          <w:rFonts w:ascii="Arial" w:hAnsi="Arial" w:cs="Arial"/>
          <w:sz w:val="22"/>
          <w:szCs w:val="22"/>
        </w:rPr>
        <w:t>. Litografía e Imprenta LIL S.A., San José, 1996. pp 11-131, 215-262.</w:t>
      </w: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JINESTA LOBO, ERNESTO.  </w:t>
      </w:r>
      <w:r w:rsidRPr="004D3999">
        <w:rPr>
          <w:rFonts w:ascii="Arial" w:hAnsi="Arial" w:cs="Arial"/>
          <w:sz w:val="22"/>
          <w:szCs w:val="22"/>
          <w:u w:val="single"/>
        </w:rPr>
        <w:t>Tratado de Derecho Administrativo</w:t>
      </w:r>
      <w:r w:rsidRPr="004D3999">
        <w:rPr>
          <w:rFonts w:ascii="Arial" w:hAnsi="Arial" w:cs="Arial"/>
          <w:sz w:val="22"/>
          <w:szCs w:val="22"/>
        </w:rPr>
        <w:t>.  Tomo II.  Biblioteca Jur</w:t>
      </w:r>
      <w:r w:rsidRPr="004D3999">
        <w:rPr>
          <w:rFonts w:ascii="Arial" w:hAnsi="Arial" w:cs="Arial"/>
          <w:sz w:val="22"/>
          <w:szCs w:val="22"/>
          <w:lang w:val="es-CR"/>
        </w:rPr>
        <w:t>ídica Dike, Medellín, 2005.</w:t>
      </w:r>
    </w:p>
    <w:p w:rsidR="00A93AF8" w:rsidRPr="004D3999" w:rsidRDefault="00A93AF8" w:rsidP="00A93AF8">
      <w:pPr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 xml:space="preserve">TEMA </w:t>
      </w:r>
      <w:r w:rsidR="0080268D" w:rsidRPr="004D3999">
        <w:rPr>
          <w:rFonts w:ascii="Arial" w:hAnsi="Arial" w:cs="Arial"/>
          <w:b/>
          <w:sz w:val="22"/>
          <w:szCs w:val="22"/>
        </w:rPr>
        <w:t>III</w:t>
      </w:r>
      <w:r w:rsidRPr="004D3999">
        <w:rPr>
          <w:rFonts w:ascii="Arial" w:hAnsi="Arial" w:cs="Arial"/>
          <w:b/>
          <w:sz w:val="22"/>
          <w:szCs w:val="22"/>
        </w:rPr>
        <w:t>. EXPROPIACIÓN</w:t>
      </w:r>
    </w:p>
    <w:p w:rsidR="00A93AF8" w:rsidRPr="004D3999" w:rsidRDefault="00A93AF8" w:rsidP="00A93AF8">
      <w:pPr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lastRenderedPageBreak/>
        <w:t xml:space="preserve">GARCÍA DE ENTERRÍA, EDUARDO Y FERNÁNDEZ, TOMÁS RAMÓN. </w:t>
      </w:r>
      <w:r w:rsidRPr="004D3999">
        <w:rPr>
          <w:rFonts w:ascii="Arial" w:hAnsi="Arial" w:cs="Arial"/>
          <w:sz w:val="22"/>
          <w:szCs w:val="22"/>
          <w:u w:val="single"/>
        </w:rPr>
        <w:t>Curso de Derecho Administrativo</w:t>
      </w:r>
      <w:r w:rsidRPr="004D3999">
        <w:rPr>
          <w:rFonts w:ascii="Arial" w:hAnsi="Arial" w:cs="Arial"/>
          <w:sz w:val="22"/>
          <w:szCs w:val="22"/>
        </w:rPr>
        <w:t>. Tomo II. Editorial Civitas, Madrid, 1986, pp. 191-259.</w:t>
      </w: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ORTÍZ ORTÍZ, EDUARDO. </w:t>
      </w:r>
      <w:r w:rsidRPr="004D3999">
        <w:rPr>
          <w:rFonts w:ascii="Arial" w:hAnsi="Arial" w:cs="Arial"/>
          <w:sz w:val="22"/>
          <w:szCs w:val="22"/>
          <w:u w:val="single"/>
        </w:rPr>
        <w:t>Expropiación y Responsabilidad Pública</w:t>
      </w:r>
      <w:r w:rsidRPr="004D3999">
        <w:rPr>
          <w:rFonts w:ascii="Arial" w:hAnsi="Arial" w:cs="Arial"/>
          <w:sz w:val="22"/>
          <w:szCs w:val="22"/>
        </w:rPr>
        <w:t>. Litografía e Imprenta Lil S.A., San José, 1996. pp 133-214.</w:t>
      </w: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CÓRDOBA ORTEGA, JORGE. </w:t>
      </w:r>
      <w:r w:rsidRPr="004D3999">
        <w:rPr>
          <w:rFonts w:ascii="Arial" w:hAnsi="Arial" w:cs="Arial"/>
          <w:sz w:val="22"/>
          <w:szCs w:val="22"/>
          <w:u w:val="single"/>
        </w:rPr>
        <w:t>Comentarios a la Ley de Expropiaciones costarricense</w:t>
      </w:r>
      <w:r w:rsidRPr="004D3999">
        <w:rPr>
          <w:rFonts w:ascii="Arial" w:hAnsi="Arial" w:cs="Arial"/>
          <w:sz w:val="22"/>
          <w:szCs w:val="22"/>
        </w:rPr>
        <w:t>. Editorial Juricentro, San José, 1995, pp.  199 - 357</w:t>
      </w:r>
    </w:p>
    <w:p w:rsidR="00A93AF8" w:rsidRPr="004D3999" w:rsidRDefault="00A93AF8" w:rsidP="00A93AF8">
      <w:pPr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80268D" w:rsidP="00A93AF8">
      <w:pPr>
        <w:jc w:val="both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TEMA IV</w:t>
      </w:r>
      <w:r w:rsidR="00A93AF8" w:rsidRPr="004D3999">
        <w:rPr>
          <w:rFonts w:ascii="Arial" w:hAnsi="Arial" w:cs="Arial"/>
          <w:b/>
          <w:sz w:val="22"/>
          <w:szCs w:val="22"/>
        </w:rPr>
        <w:t>. FUNCIÓN PÚBLICA</w:t>
      </w:r>
    </w:p>
    <w:p w:rsidR="00A93AF8" w:rsidRPr="004D3999" w:rsidRDefault="00A93AF8" w:rsidP="00A93AF8">
      <w:pPr>
        <w:jc w:val="both"/>
        <w:rPr>
          <w:rFonts w:ascii="Arial" w:hAnsi="Arial" w:cs="Arial"/>
          <w:b/>
          <w:sz w:val="22"/>
          <w:szCs w:val="22"/>
        </w:rPr>
      </w:pP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SÁNCHEZ MORÓN, MIGUEL. </w:t>
      </w:r>
      <w:r w:rsidRPr="004D3999">
        <w:rPr>
          <w:rFonts w:ascii="Arial" w:hAnsi="Arial" w:cs="Arial"/>
          <w:sz w:val="22"/>
          <w:szCs w:val="22"/>
          <w:u w:val="single"/>
        </w:rPr>
        <w:t>Derecho de la Función Pública</w:t>
      </w:r>
      <w:r w:rsidRPr="004D3999">
        <w:rPr>
          <w:rFonts w:ascii="Arial" w:hAnsi="Arial" w:cs="Arial"/>
          <w:sz w:val="22"/>
          <w:szCs w:val="22"/>
        </w:rPr>
        <w:t>. Editorial Tecnos, S.A. Madrid, 1996, pp. 17-37 Y 138-161.</w:t>
      </w: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VARGAS HIDALGO, RICARDO Y VEGA ROBERT, ROLANDO. </w:t>
      </w:r>
      <w:r w:rsidRPr="004D3999">
        <w:rPr>
          <w:rFonts w:ascii="Arial" w:hAnsi="Arial" w:cs="Arial"/>
          <w:sz w:val="22"/>
          <w:szCs w:val="22"/>
          <w:u w:val="single"/>
        </w:rPr>
        <w:t>La relación de empleo público y sus consecuencias prácticas en la jurisprudencia costarricense</w:t>
      </w:r>
      <w:r w:rsidRPr="004D3999">
        <w:rPr>
          <w:rFonts w:ascii="Arial" w:hAnsi="Arial" w:cs="Arial"/>
          <w:sz w:val="22"/>
          <w:szCs w:val="22"/>
        </w:rPr>
        <w:t>. En “</w:t>
      </w:r>
      <w:r w:rsidRPr="004D3999">
        <w:rPr>
          <w:rFonts w:ascii="Arial" w:hAnsi="Arial" w:cs="Arial"/>
          <w:i/>
          <w:sz w:val="22"/>
          <w:szCs w:val="22"/>
        </w:rPr>
        <w:t>Revista Judicial</w:t>
      </w:r>
      <w:r w:rsidRPr="004D3999">
        <w:rPr>
          <w:rFonts w:ascii="Arial" w:hAnsi="Arial" w:cs="Arial"/>
          <w:sz w:val="22"/>
          <w:szCs w:val="22"/>
        </w:rPr>
        <w:t>”. Número 52. pp. 61-76.</w:t>
      </w: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  <w:lang w:val="it-IT"/>
        </w:rPr>
      </w:pPr>
      <w:r w:rsidRPr="004D3999">
        <w:rPr>
          <w:rFonts w:ascii="Arial" w:hAnsi="Arial" w:cs="Arial"/>
          <w:sz w:val="22"/>
          <w:szCs w:val="22"/>
        </w:rPr>
        <w:t xml:space="preserve">ORTIZ ORTIZ, EDUARDO. </w:t>
      </w:r>
      <w:r w:rsidRPr="004D3999">
        <w:rPr>
          <w:rFonts w:ascii="Arial" w:hAnsi="Arial" w:cs="Arial"/>
          <w:sz w:val="22"/>
          <w:szCs w:val="22"/>
          <w:u w:val="single"/>
        </w:rPr>
        <w:t>Tesis de Derecho Administrativo</w:t>
      </w:r>
      <w:r w:rsidRPr="004D3999">
        <w:rPr>
          <w:rFonts w:ascii="Arial" w:hAnsi="Arial" w:cs="Arial"/>
          <w:sz w:val="22"/>
          <w:szCs w:val="22"/>
        </w:rPr>
        <w:t xml:space="preserve">. </w:t>
      </w:r>
      <w:r w:rsidRPr="004D3999">
        <w:rPr>
          <w:rFonts w:ascii="Arial" w:hAnsi="Arial" w:cs="Arial"/>
          <w:sz w:val="22"/>
          <w:szCs w:val="22"/>
          <w:lang w:val="it-IT"/>
        </w:rPr>
        <w:t>T. II. 1 ed. San José, Costa Rica: Stradtmann, 2000. pp. 107-161.</w:t>
      </w: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  <w:lang w:val="it-IT"/>
        </w:rPr>
      </w:pPr>
      <w:r w:rsidRPr="004D3999">
        <w:rPr>
          <w:rFonts w:ascii="Arial" w:hAnsi="Arial" w:cs="Arial"/>
          <w:sz w:val="22"/>
          <w:szCs w:val="22"/>
          <w:lang w:val="it-IT"/>
        </w:rPr>
        <w:t xml:space="preserve"> CÓRDOBA ORTEGA, JORGE. Sala Constitucional y función pública. En: Revista Parlamentaria. “Sala Constitucional ¿Defensora de la Constitución u obstáculo para el desarrollo?. Volumen 3, No. 3, Diciembre de 1995. pp. 161 a 181.</w:t>
      </w:r>
    </w:p>
    <w:p w:rsidR="00A93AF8" w:rsidRPr="004D3999" w:rsidRDefault="00A93AF8" w:rsidP="00A93AF8">
      <w:pPr>
        <w:numPr>
          <w:ilvl w:val="1"/>
          <w:numId w:val="5"/>
        </w:numPr>
        <w:suppressAutoHyphens w:val="0"/>
        <w:ind w:left="709" w:hanging="643"/>
        <w:jc w:val="both"/>
        <w:rPr>
          <w:rFonts w:ascii="Arial" w:hAnsi="Arial" w:cs="Arial"/>
          <w:sz w:val="22"/>
          <w:szCs w:val="22"/>
          <w:lang w:val="it-IT"/>
        </w:rPr>
      </w:pPr>
      <w:r w:rsidRPr="004D3999">
        <w:rPr>
          <w:rFonts w:ascii="Arial" w:hAnsi="Arial" w:cs="Arial"/>
          <w:sz w:val="22"/>
          <w:szCs w:val="22"/>
          <w:lang w:val="it-IT"/>
        </w:rPr>
        <w:t>BOLAÑOS GONZÁLEZ, JIMMY. Estatuto de Servicio Civil y su Reglamento (Comentado, con jurisprudencia y legislación conexa). San José, Investigaciones Jurídica, primera edición, 2001.</w:t>
      </w:r>
    </w:p>
    <w:p w:rsidR="00A93AF8" w:rsidRPr="004D3999" w:rsidRDefault="00A93AF8" w:rsidP="00A93AF8">
      <w:pPr>
        <w:tabs>
          <w:tab w:val="num" w:pos="1440"/>
        </w:tabs>
        <w:ind w:left="66"/>
        <w:jc w:val="both"/>
        <w:rPr>
          <w:rFonts w:ascii="Arial" w:hAnsi="Arial" w:cs="Arial"/>
          <w:sz w:val="22"/>
          <w:szCs w:val="22"/>
          <w:lang w:val="it-IT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D3999">
        <w:rPr>
          <w:rFonts w:ascii="Arial" w:hAnsi="Arial" w:cs="Arial"/>
          <w:b/>
          <w:bCs/>
          <w:i/>
          <w:sz w:val="22"/>
          <w:szCs w:val="22"/>
          <w:u w:val="single"/>
        </w:rPr>
        <w:t>TEXTOS NORMATIVOS OBLIGATORIOS</w:t>
      </w:r>
      <w:r w:rsidRPr="004D3999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A93AF8" w:rsidRPr="004D3999" w:rsidRDefault="00A93AF8" w:rsidP="00A93AF8">
      <w:pPr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1. Constitución Política de la República de Costa Rica.  7 de noviembre de 1949.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2. Córdoba Ortega, Jorge y González Porras, Andrés. Constitución Política de la República de Costa Rica con resoluciones de la Sala Constitucional. San José, Editorial Investigaciones Jurídicas S.A., 2010. 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bCs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3. Córdoba Ortega, Jorge. Ley General de la Administración Pública con jurisprudencia constitucional, laboral, penal y contencioso - administrativa.  San José, Editorial Investigaciones Jurídicas S.A., quinta edición, 2011. </w:t>
      </w:r>
      <w:r w:rsidRPr="004D3999">
        <w:rPr>
          <w:rFonts w:ascii="Arial" w:hAnsi="Arial" w:cs="Arial"/>
          <w:bCs/>
          <w:color w:val="000000"/>
          <w:sz w:val="22"/>
          <w:szCs w:val="22"/>
        </w:rPr>
        <w:t>(Ley Nº 6227 de 2 de mayo de 1978 y sus reformas).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4. Ley Orgánica de la Procuraduría General de la República. (No. 6815 de </w:t>
      </w:r>
      <w:r w:rsidRPr="004D3999">
        <w:rPr>
          <w:rFonts w:ascii="Arial" w:hAnsi="Arial" w:cs="Arial"/>
          <w:bCs/>
          <w:sz w:val="22"/>
          <w:szCs w:val="22"/>
        </w:rPr>
        <w:t>27 de setiembre de 1982 y sus reformas).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5. </w:t>
      </w:r>
      <w:r w:rsidRPr="004D3999">
        <w:rPr>
          <w:rFonts w:ascii="Arial" w:hAnsi="Arial" w:cs="Arial"/>
          <w:color w:val="000000"/>
          <w:sz w:val="22"/>
          <w:szCs w:val="22"/>
        </w:rPr>
        <w:t>Ley Orgánica de la Contraloría General de la República (Nº 7428 de 26 de agosto de 1994 y sus reformas)</w:t>
      </w:r>
    </w:p>
    <w:p w:rsidR="00A93AF8" w:rsidRPr="004D3999" w:rsidRDefault="00A93AF8" w:rsidP="00A93AF8">
      <w:pPr>
        <w:spacing w:line="360" w:lineRule="auto"/>
        <w:ind w:right="352"/>
        <w:jc w:val="both"/>
        <w:rPr>
          <w:rFonts w:ascii="Arial" w:hAnsi="Arial" w:cs="Arial"/>
          <w:color w:val="000000"/>
          <w:sz w:val="22"/>
          <w:szCs w:val="22"/>
        </w:rPr>
      </w:pPr>
      <w:r w:rsidRPr="004D3999">
        <w:rPr>
          <w:rFonts w:ascii="Arial" w:hAnsi="Arial" w:cs="Arial"/>
          <w:color w:val="000000"/>
          <w:sz w:val="22"/>
          <w:szCs w:val="22"/>
        </w:rPr>
        <w:lastRenderedPageBreak/>
        <w:t>6. Ley contra la corrupción y el enriquecimiento ilícito en la función pública (Nº 8422 de 6 de octubre de 2004)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7.  Ley de la Autoridad Reguladora de los Servicios Públicos. (No. 7593 09 de agosto de 1996 y sus reformas). 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3999">
        <w:rPr>
          <w:rFonts w:ascii="Arial" w:hAnsi="Arial" w:cs="Arial"/>
          <w:color w:val="000000"/>
          <w:sz w:val="22"/>
          <w:szCs w:val="22"/>
        </w:rPr>
        <w:t>8. Ley de protección al ciudadano del exceso de requisitos y trámites administrativos (Nº 8220 de 4 de marzo del 2002).</w:t>
      </w:r>
    </w:p>
    <w:p w:rsidR="00A93AF8" w:rsidRPr="004D3999" w:rsidRDefault="00A93AF8" w:rsidP="00A93A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color w:val="000000"/>
          <w:sz w:val="22"/>
          <w:szCs w:val="22"/>
        </w:rPr>
        <w:t>9. Ley General de Control Interno (Ley Nº 8292 de 31 de julio del 2002)</w:t>
      </w: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</w:p>
    <w:p w:rsidR="00A93AF8" w:rsidRPr="004D3999" w:rsidRDefault="00A93AF8" w:rsidP="00A93AF8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10.  Quirós Coronado, Roberto. Ley General de la Administración Pública, Editorial Aselex S.A., 1996. </w:t>
      </w:r>
    </w:p>
    <w:p w:rsidR="00A93AF8" w:rsidRPr="004D3999" w:rsidRDefault="00A93AF8" w:rsidP="00A93AF8">
      <w:pPr>
        <w:tabs>
          <w:tab w:val="num" w:pos="1440"/>
        </w:tabs>
        <w:ind w:left="66"/>
        <w:jc w:val="both"/>
        <w:rPr>
          <w:rFonts w:ascii="Arial" w:hAnsi="Arial" w:cs="Arial"/>
          <w:sz w:val="22"/>
          <w:szCs w:val="22"/>
        </w:rPr>
      </w:pPr>
    </w:p>
    <w:p w:rsidR="004D3999" w:rsidRPr="004D3999" w:rsidRDefault="004D3999" w:rsidP="004D39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CRONOGRAMA</w:t>
      </w: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El siguiente cronograma es indicativo para cubrir los temas del programa según su extensión y profundización, pero cada profesor determinará durante el desarrollo del curso, la mejor distribución de los temas y el empleo de las lecciones disponibles durante el semestre.</w:t>
      </w:r>
    </w:p>
    <w:p w:rsid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La presentación del programa del curso se hará en la primera semana de clases, del 9 al 13 de marzo.</w:t>
      </w: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Tema I. Semanas del 9 al 13 de marzo, del 16 al 20 de marzo, del 23 al 27 de marzo.</w:t>
      </w: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Tema II. Semanas del 6 al 10 de abril, del 13 al 17 de abril, del 20 al 24 de abril, del 27 de marzo al 1 de mayo, del 4 al 8 de mayo.</w:t>
      </w: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Tema III. Semanas del 11 al 15 de mayo, 18 al 22 de mayo, 25 al 29 de mayo. </w:t>
      </w: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Tema IV. Semanas del 1 al 5 de junio, del 8 al 12 de junio, del 15 al 19 de junio.</w:t>
      </w: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>Tema V. Semanas del 22 al 26 de junio, del 29 al 3 de julio.</w:t>
      </w: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</w:p>
    <w:p w:rsidR="004D3999" w:rsidRPr="004D3999" w:rsidRDefault="004D3999" w:rsidP="004D3999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D3999" w:rsidRPr="004D3999" w:rsidRDefault="004D3999" w:rsidP="004D3999">
      <w:pPr>
        <w:jc w:val="both"/>
        <w:rPr>
          <w:rFonts w:ascii="Arial" w:hAnsi="Arial" w:cs="Arial"/>
          <w:sz w:val="18"/>
          <w:szCs w:val="18"/>
        </w:rPr>
      </w:pPr>
      <w:r w:rsidRPr="004D3999">
        <w:rPr>
          <w:rFonts w:ascii="Arial" w:hAnsi="Arial" w:cs="Arial"/>
          <w:b/>
          <w:i/>
          <w:sz w:val="18"/>
          <w:szCs w:val="18"/>
        </w:rPr>
        <w:t>JCO/Marzo 2015.</w:t>
      </w:r>
      <w:r w:rsidRPr="004D3999">
        <w:rPr>
          <w:rFonts w:ascii="Arial" w:hAnsi="Arial" w:cs="Arial"/>
          <w:sz w:val="18"/>
          <w:szCs w:val="18"/>
        </w:rPr>
        <w:t xml:space="preserve"> </w:t>
      </w:r>
    </w:p>
    <w:p w:rsidR="004D3999" w:rsidRPr="004D3999" w:rsidRDefault="004D3999" w:rsidP="004D3999">
      <w:pPr>
        <w:jc w:val="both"/>
        <w:rPr>
          <w:rFonts w:ascii="Arial" w:hAnsi="Arial" w:cs="Arial"/>
          <w:sz w:val="22"/>
          <w:szCs w:val="22"/>
        </w:rPr>
      </w:pPr>
    </w:p>
    <w:p w:rsidR="00B02CA4" w:rsidRPr="004D3999" w:rsidRDefault="00B02CA4" w:rsidP="00B02CA4">
      <w:pPr>
        <w:jc w:val="both"/>
        <w:rPr>
          <w:rFonts w:ascii="Arial" w:hAnsi="Arial" w:cs="Arial"/>
          <w:sz w:val="22"/>
          <w:szCs w:val="22"/>
        </w:rPr>
      </w:pPr>
    </w:p>
    <w:p w:rsidR="00B02CA4" w:rsidRPr="004D3999" w:rsidRDefault="00B02CA4" w:rsidP="00B02CA4">
      <w:pPr>
        <w:jc w:val="both"/>
        <w:rPr>
          <w:rFonts w:ascii="Arial" w:hAnsi="Arial" w:cs="Arial"/>
          <w:sz w:val="22"/>
          <w:szCs w:val="22"/>
        </w:rPr>
      </w:pPr>
    </w:p>
    <w:p w:rsidR="00B02CA4" w:rsidRPr="004D3999" w:rsidRDefault="00B02CA4" w:rsidP="00B02CA4">
      <w:pPr>
        <w:jc w:val="both"/>
        <w:rPr>
          <w:rFonts w:ascii="Arial" w:hAnsi="Arial" w:cs="Arial"/>
          <w:sz w:val="22"/>
          <w:szCs w:val="22"/>
        </w:rPr>
      </w:pPr>
    </w:p>
    <w:p w:rsidR="00B02CA4" w:rsidRPr="004D3999" w:rsidRDefault="00B02CA4" w:rsidP="00B02CA4">
      <w:pPr>
        <w:jc w:val="both"/>
        <w:rPr>
          <w:rFonts w:ascii="Arial" w:hAnsi="Arial" w:cs="Arial"/>
          <w:sz w:val="22"/>
          <w:szCs w:val="22"/>
        </w:rPr>
      </w:pPr>
    </w:p>
    <w:p w:rsidR="00B02CA4" w:rsidRPr="004D3999" w:rsidRDefault="00B02CA4" w:rsidP="00B02CA4">
      <w:pPr>
        <w:jc w:val="both"/>
        <w:rPr>
          <w:rFonts w:ascii="Arial" w:hAnsi="Arial" w:cs="Arial"/>
          <w:b/>
          <w:sz w:val="22"/>
          <w:szCs w:val="22"/>
        </w:rPr>
      </w:pPr>
    </w:p>
    <w:p w:rsidR="00B02CA4" w:rsidRPr="004D3999" w:rsidRDefault="00B02CA4" w:rsidP="00B02CA4">
      <w:pPr>
        <w:jc w:val="both"/>
        <w:rPr>
          <w:rFonts w:ascii="Arial" w:hAnsi="Arial" w:cs="Arial"/>
          <w:b/>
          <w:sz w:val="22"/>
          <w:szCs w:val="22"/>
        </w:rPr>
      </w:pPr>
    </w:p>
    <w:p w:rsidR="00B02CA4" w:rsidRPr="004D3999" w:rsidRDefault="00B02CA4" w:rsidP="00B02CA4">
      <w:pPr>
        <w:jc w:val="both"/>
        <w:rPr>
          <w:rFonts w:ascii="Arial" w:hAnsi="Arial" w:cs="Arial"/>
          <w:b/>
          <w:sz w:val="22"/>
          <w:szCs w:val="22"/>
        </w:rPr>
      </w:pPr>
    </w:p>
    <w:p w:rsidR="00B02CA4" w:rsidRPr="004D3999" w:rsidRDefault="00B02CA4" w:rsidP="00B02CA4">
      <w:pPr>
        <w:rPr>
          <w:rFonts w:ascii="Arial" w:hAnsi="Arial" w:cs="Arial"/>
          <w:sz w:val="22"/>
          <w:szCs w:val="22"/>
        </w:rPr>
      </w:pPr>
    </w:p>
    <w:p w:rsidR="003F730A" w:rsidRPr="004D3999" w:rsidRDefault="003F730A">
      <w:pPr>
        <w:rPr>
          <w:rFonts w:ascii="Arial" w:hAnsi="Arial" w:cs="Arial"/>
          <w:sz w:val="22"/>
          <w:szCs w:val="22"/>
        </w:rPr>
      </w:pPr>
    </w:p>
    <w:sectPr w:rsidR="003F730A" w:rsidRPr="004D3999">
      <w:headerReference w:type="default" r:id="rId8"/>
      <w:footerReference w:type="default" r:id="rId9"/>
      <w:pgSz w:w="12240" w:h="15840"/>
      <w:pgMar w:top="1497" w:right="1440" w:bottom="1440" w:left="1440" w:header="144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D9" w:rsidRDefault="00A619D9" w:rsidP="00B02CA4">
      <w:r>
        <w:separator/>
      </w:r>
    </w:p>
  </w:endnote>
  <w:endnote w:type="continuationSeparator" w:id="0">
    <w:p w:rsidR="00A619D9" w:rsidRDefault="00A619D9" w:rsidP="00B0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697577"/>
      <w:docPartObj>
        <w:docPartGallery w:val="Page Numbers (Bottom of Page)"/>
        <w:docPartUnique/>
      </w:docPartObj>
    </w:sdtPr>
    <w:sdtEndPr/>
    <w:sdtContent>
      <w:p w:rsidR="0080268D" w:rsidRDefault="008026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705">
          <w:rPr>
            <w:noProof/>
          </w:rPr>
          <w:t>11</w:t>
        </w:r>
        <w:r>
          <w:fldChar w:fldCharType="end"/>
        </w:r>
      </w:p>
    </w:sdtContent>
  </w:sdt>
  <w:p w:rsidR="0080268D" w:rsidRDefault="008026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D9" w:rsidRDefault="00A619D9" w:rsidP="00B02CA4">
      <w:r>
        <w:separator/>
      </w:r>
    </w:p>
  </w:footnote>
  <w:footnote w:type="continuationSeparator" w:id="0">
    <w:p w:rsidR="00A619D9" w:rsidRDefault="00A619D9" w:rsidP="00B02CA4">
      <w:r>
        <w:continuationSeparator/>
      </w:r>
    </w:p>
  </w:footnote>
  <w:footnote w:id="1">
    <w:p w:rsidR="00B02CA4" w:rsidRDefault="00B02CA4" w:rsidP="00FF358D">
      <w:r>
        <w:rPr>
          <w:rStyle w:val="Caracteresdenotaalpie"/>
          <w:rFonts w:ascii="Times" w:hAnsi="Times"/>
        </w:rPr>
        <w:footnoteRef/>
      </w:r>
      <w:r w:rsidR="00FF358D">
        <w:rPr>
          <w:rStyle w:val="Refdenotaalpie1"/>
        </w:rPr>
        <w:t xml:space="preserve"> </w:t>
      </w:r>
      <w:r>
        <w:t>Plan de Desarrollo Estratégico 2007-2014</w:t>
      </w:r>
    </w:p>
  </w:footnote>
  <w:footnote w:id="2">
    <w:p w:rsidR="00B02CA4" w:rsidRDefault="00B02CA4" w:rsidP="00FF358D">
      <w:r>
        <w:rPr>
          <w:rStyle w:val="Caracteresdenotaalpie"/>
          <w:rFonts w:ascii="Times" w:hAnsi="Times"/>
        </w:rPr>
        <w:footnoteRef/>
      </w:r>
      <w:r>
        <w:t xml:space="preserve"> Plan de Desarrollo Estratégico 2007-2014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3516"/>
    </w:tblGrid>
    <w:tr w:rsidR="009D0319" w:rsidTr="00E8570E">
      <w:tc>
        <w:tcPr>
          <w:tcW w:w="3516" w:type="dxa"/>
          <w:shd w:val="clear" w:color="auto" w:fill="FFFFFF"/>
        </w:tcPr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3042"/>
            <w:gridCol w:w="4943"/>
            <w:gridCol w:w="1762"/>
          </w:tblGrid>
          <w:tr w:rsidR="009D0319">
            <w:trPr>
              <w:trHeight w:val="1070"/>
            </w:trPr>
            <w:tc>
              <w:tcPr>
                <w:tcW w:w="3042" w:type="dxa"/>
                <w:shd w:val="clear" w:color="auto" w:fill="FFFFFF"/>
              </w:tcPr>
              <w:p w:rsidR="009D0319" w:rsidRDefault="00B478BD">
                <w:pPr>
                  <w:pStyle w:val="Encabezado"/>
                  <w:snapToGrid w:val="0"/>
                </w:pPr>
                <w:r>
                  <w:object w:dxaOrig="953" w:dyaOrig="90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4pt;height:79.5pt" o:ole="" filled="t">
                      <v:fill opacity="0" color2="black"/>
                      <v:imagedata r:id="rId1" o:title=""/>
                    </v:shape>
                    <o:OLEObject Type="Embed" ProgID="Imagen" ShapeID="_x0000_i1025" DrawAspect="Content" ObjectID="_1487668776" r:id="rId2"/>
                  </w:object>
                </w:r>
              </w:p>
            </w:tc>
            <w:tc>
              <w:tcPr>
                <w:tcW w:w="4943" w:type="dxa"/>
                <w:shd w:val="clear" w:color="auto" w:fill="FFFFFF"/>
              </w:tcPr>
              <w:p w:rsidR="009D0319" w:rsidRDefault="00B02CA4">
                <w:pPr>
                  <w:pStyle w:val="Encabezado"/>
                  <w:ind w:right="1391"/>
                  <w:jc w:val="center"/>
                </w:pPr>
                <w:r>
                  <w:rPr>
                    <w:noProof/>
                    <w:lang w:val="es-CR" w:eastAsia="es-CR"/>
                  </w:rPr>
                  <w:drawing>
                    <wp:inline distT="0" distB="0" distL="0" distR="0">
                      <wp:extent cx="1143000" cy="723900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62" w:type="dxa"/>
                <w:shd w:val="clear" w:color="auto" w:fill="FFFFFF"/>
              </w:tcPr>
              <w:p w:rsidR="009D0319" w:rsidRDefault="00B02CA4">
                <w:pPr>
                  <w:pStyle w:val="Encabezado"/>
                  <w:jc w:val="both"/>
                </w:pPr>
                <w:r>
                  <w:rPr>
                    <w:noProof/>
                    <w:lang w:val="es-CR" w:eastAsia="es-CR"/>
                  </w:rPr>
                  <w:drawing>
                    <wp:inline distT="0" distB="0" distL="0" distR="0">
                      <wp:extent cx="1047750" cy="12954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01B59" w:rsidRDefault="00B01B59">
          <w:pPr>
            <w:suppressAutoHyphens w:val="0"/>
            <w:rPr>
              <w:rFonts w:asciiTheme="minorHAnsi" w:eastAsiaTheme="minorHAnsi" w:hAnsiTheme="minorHAnsi" w:cstheme="minorBidi"/>
              <w:kern w:val="0"/>
              <w:sz w:val="22"/>
              <w:szCs w:val="22"/>
              <w:lang w:val="es-CR" w:eastAsia="en-US"/>
            </w:rPr>
          </w:pPr>
        </w:p>
      </w:tc>
    </w:tr>
  </w:tbl>
  <w:p w:rsidR="009D0319" w:rsidRDefault="009D03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upperLetter"/>
      <w:pStyle w:val="Ttulo3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7B3B23"/>
    <w:multiLevelType w:val="hybridMultilevel"/>
    <w:tmpl w:val="EEC0DE7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0E1C6BF9"/>
    <w:multiLevelType w:val="hybridMultilevel"/>
    <w:tmpl w:val="F00A728E"/>
    <w:lvl w:ilvl="0" w:tplc="2440F33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D60A6"/>
    <w:multiLevelType w:val="hybridMultilevel"/>
    <w:tmpl w:val="3006A86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22F66E76"/>
    <w:multiLevelType w:val="hybridMultilevel"/>
    <w:tmpl w:val="FC1E93FA"/>
    <w:lvl w:ilvl="0" w:tplc="2440F33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63947"/>
    <w:multiLevelType w:val="singleLevel"/>
    <w:tmpl w:val="47F639B8"/>
    <w:lvl w:ilvl="0">
      <w:start w:val="1"/>
      <w:numFmt w:val="decimal"/>
      <w:lvlText w:val="%1. "/>
      <w:legacy w:legacy="1" w:legacySpace="0" w:legacyIndent="360"/>
      <w:lvlJc w:val="left"/>
      <w:pPr>
        <w:ind w:left="1065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10">
    <w:nsid w:val="50C1401A"/>
    <w:multiLevelType w:val="hybridMultilevel"/>
    <w:tmpl w:val="D646DC0A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3B22A15"/>
    <w:multiLevelType w:val="hybridMultilevel"/>
    <w:tmpl w:val="06182E6A"/>
    <w:lvl w:ilvl="0" w:tplc="2440F33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C781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BA71F0">
      <w:start w:val="1"/>
      <w:numFmt w:val="decimal"/>
      <w:lvlText w:val="%5-"/>
      <w:lvlJc w:val="left"/>
      <w:pPr>
        <w:tabs>
          <w:tab w:val="num" w:pos="3945"/>
        </w:tabs>
        <w:ind w:left="3945" w:hanging="705"/>
      </w:pPr>
      <w:rPr>
        <w:rFonts w:hint="default"/>
      </w:r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8725E2"/>
    <w:multiLevelType w:val="hybridMultilevel"/>
    <w:tmpl w:val="EFBA53B4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7F5A62D4"/>
    <w:multiLevelType w:val="hybridMultilevel"/>
    <w:tmpl w:val="6C8800EE"/>
    <w:lvl w:ilvl="0" w:tplc="1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11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776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7"/>
  </w:num>
  <w:num w:numId="12">
    <w:abstractNumId w:val="12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A4"/>
    <w:rsid w:val="000862DB"/>
    <w:rsid w:val="00165DE5"/>
    <w:rsid w:val="002808CE"/>
    <w:rsid w:val="002E6CC0"/>
    <w:rsid w:val="0032691F"/>
    <w:rsid w:val="003F730A"/>
    <w:rsid w:val="004D3999"/>
    <w:rsid w:val="00562413"/>
    <w:rsid w:val="00581F67"/>
    <w:rsid w:val="005B3705"/>
    <w:rsid w:val="005F282D"/>
    <w:rsid w:val="006E0BBA"/>
    <w:rsid w:val="0080268D"/>
    <w:rsid w:val="0095437C"/>
    <w:rsid w:val="009D0319"/>
    <w:rsid w:val="00A3792E"/>
    <w:rsid w:val="00A619D9"/>
    <w:rsid w:val="00A93AF8"/>
    <w:rsid w:val="00B01B59"/>
    <w:rsid w:val="00B02CA4"/>
    <w:rsid w:val="00B478BD"/>
    <w:rsid w:val="00E154AE"/>
    <w:rsid w:val="00E64B9C"/>
    <w:rsid w:val="00FB2B9A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94A440D-CA7F-4EEF-9B7F-8F6BCE2B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CA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02CA4"/>
    <w:pPr>
      <w:keepNext/>
      <w:numPr>
        <w:numId w:val="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outlineLvl w:val="2"/>
    </w:pPr>
    <w:rPr>
      <w:rFonts w:ascii="Arial" w:hAnsi="Arial" w:cs="Arial"/>
      <w:spacing w:val="-3"/>
      <w:lang w:val="es-MX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02CA4"/>
    <w:rPr>
      <w:rFonts w:ascii="Arial" w:eastAsia="Times New Roman" w:hAnsi="Arial" w:cs="Arial"/>
      <w:spacing w:val="-3"/>
      <w:kern w:val="1"/>
      <w:sz w:val="24"/>
      <w:szCs w:val="24"/>
      <w:lang w:val="es-MX" w:eastAsia="zh-CN"/>
    </w:rPr>
  </w:style>
  <w:style w:type="character" w:customStyle="1" w:styleId="Refdenotaalpie1">
    <w:name w:val="Ref. de nota al pie1"/>
    <w:basedOn w:val="Fuentedeprrafopredeter"/>
    <w:rsid w:val="00B02CA4"/>
    <w:rPr>
      <w:vertAlign w:val="superscript"/>
    </w:rPr>
  </w:style>
  <w:style w:type="character" w:customStyle="1" w:styleId="Caracteresdenotaalpie">
    <w:name w:val="Caracteres de nota al pie"/>
    <w:rsid w:val="00B02CA4"/>
    <w:rPr>
      <w:vertAlign w:val="superscript"/>
    </w:rPr>
  </w:style>
  <w:style w:type="paragraph" w:styleId="Encabezado">
    <w:name w:val="header"/>
    <w:basedOn w:val="Normal"/>
    <w:link w:val="EncabezadoCar"/>
    <w:rsid w:val="00B02C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02CA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02CA4"/>
    <w:rPr>
      <w:rFonts w:ascii="Courier New" w:hAnsi="Courier New" w:cs="Courier New"/>
      <w:b/>
      <w:bCs/>
      <w:sz w:val="32"/>
      <w:szCs w:val="32"/>
      <w:u w:val="single"/>
      <w:lang w:val="es-MX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B02CA4"/>
    <w:rPr>
      <w:rFonts w:ascii="Courier New" w:eastAsia="Times New Roman" w:hAnsi="Courier New" w:cs="Courier New"/>
      <w:b/>
      <w:bCs/>
      <w:kern w:val="1"/>
      <w:sz w:val="32"/>
      <w:szCs w:val="32"/>
      <w:u w:val="single"/>
      <w:lang w:val="es-MX" w:eastAsia="zh-CN"/>
    </w:rPr>
  </w:style>
  <w:style w:type="paragraph" w:styleId="Textonotapie">
    <w:name w:val="footnote text"/>
    <w:basedOn w:val="Normal"/>
    <w:link w:val="TextonotapieCar"/>
    <w:rsid w:val="00B02CA4"/>
  </w:style>
  <w:style w:type="character" w:customStyle="1" w:styleId="TextonotapieCar">
    <w:name w:val="Texto nota pie Car"/>
    <w:basedOn w:val="Fuentedeprrafopredeter"/>
    <w:link w:val="Textonotapie"/>
    <w:rsid w:val="00B02CA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angra3detindependiente1">
    <w:name w:val="Sangría 3 de t. independiente1"/>
    <w:basedOn w:val="Normal"/>
    <w:rsid w:val="00B02CA4"/>
    <w:pPr>
      <w:spacing w:after="120"/>
      <w:ind w:left="360"/>
    </w:pPr>
    <w:rPr>
      <w:sz w:val="16"/>
      <w:szCs w:val="16"/>
    </w:rPr>
  </w:style>
  <w:style w:type="character" w:styleId="Hipervnculo">
    <w:name w:val="Hyperlink"/>
    <w:uiPriority w:val="99"/>
    <w:unhideWhenUsed/>
    <w:rsid w:val="00B02CA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02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68D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F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F67"/>
    <w:rPr>
      <w:rFonts w:ascii="Segoe UI" w:eastAsia="Times New Roman" w:hAnsi="Segoe UI" w:cs="Segoe UI"/>
      <w:kern w:val="1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ge.cordoba@ucr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2328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13</cp:revision>
  <cp:lastPrinted>2015-03-12T18:02:00Z</cp:lastPrinted>
  <dcterms:created xsi:type="dcterms:W3CDTF">2015-02-20T20:41:00Z</dcterms:created>
  <dcterms:modified xsi:type="dcterms:W3CDTF">2015-03-12T18:33:00Z</dcterms:modified>
</cp:coreProperties>
</file>