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D6" w:rsidRPr="001C12D6" w:rsidRDefault="001C12D6" w:rsidP="001C12D6"/>
    <w:p w:rsidR="001C12D6" w:rsidRPr="00313ADC" w:rsidRDefault="001C12D6" w:rsidP="00313ADC">
      <w:pPr>
        <w:jc w:val="center"/>
        <w:rPr>
          <w:sz w:val="28"/>
          <w:szCs w:val="28"/>
        </w:rPr>
      </w:pPr>
      <w:r w:rsidRPr="00313ADC">
        <w:rPr>
          <w:b/>
          <w:bCs/>
          <w:sz w:val="28"/>
          <w:szCs w:val="28"/>
        </w:rPr>
        <w:t>PROGRAMA DEL CURSO DE DERECHO PROCESAL PENAL DE 4001 Y 4007</w:t>
      </w:r>
    </w:p>
    <w:p w:rsidR="00313ADC" w:rsidRDefault="00313ADC" w:rsidP="001C12D6"/>
    <w:p w:rsidR="001C12D6" w:rsidRPr="00313ADC" w:rsidRDefault="001C12D6" w:rsidP="001C12D6">
      <w:pPr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PROFESOR: LIC. LUIS ALBERTO VIQUEZ ARIAS </w:t>
      </w:r>
    </w:p>
    <w:p w:rsidR="001C12D6" w:rsidRPr="00313ADC" w:rsidRDefault="001C12D6" w:rsidP="001C12D6">
      <w:pPr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ESPECIALISTA EN CIENCIAS PENALES U.C.R. </w:t>
      </w:r>
    </w:p>
    <w:p w:rsidR="001C12D6" w:rsidRPr="00313ADC" w:rsidRDefault="001C12D6" w:rsidP="001C12D6">
      <w:pPr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 </w:t>
      </w:r>
    </w:p>
    <w:p w:rsidR="001C12D6" w:rsidRPr="00313ADC" w:rsidRDefault="001C12D6" w:rsidP="001C12D6">
      <w:pPr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>Ciclos lectivos: I y II semestres del año 201</w:t>
      </w:r>
      <w:bookmarkStart w:id="0" w:name="_GoBack"/>
      <w:bookmarkEnd w:id="0"/>
      <w:r w:rsidR="001E2EA9">
        <w:rPr>
          <w:rFonts w:ascii="Arial" w:hAnsi="Arial" w:cs="Arial"/>
          <w:sz w:val="24"/>
          <w:szCs w:val="24"/>
        </w:rPr>
        <w:t>6</w:t>
      </w:r>
    </w:p>
    <w:p w:rsidR="001C12D6" w:rsidRPr="00313ADC" w:rsidRDefault="001C12D6" w:rsidP="001C12D6">
      <w:pPr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Sede Occidente, Universidad de Costa Rica. </w:t>
      </w:r>
    </w:p>
    <w:p w:rsidR="001C12D6" w:rsidRPr="00313ADC" w:rsidRDefault="001C12D6" w:rsidP="001C12D6">
      <w:pPr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Descripción General del Curso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>El curso de Derecho Procesal Penal tiene como objetivo general introducir al estudiante en el estudio y manejo de los principios generales que fundamentan el proceso penal. Se pretende que el alumno logre comprender la importancia del respeto al debido proceso y tenga muy claro que el proceso penal debe desarrollarse en u</w:t>
      </w:r>
      <w:r w:rsidR="00313ADC">
        <w:rPr>
          <w:rFonts w:ascii="Arial" w:hAnsi="Arial" w:cs="Arial"/>
          <w:sz w:val="24"/>
          <w:szCs w:val="24"/>
        </w:rPr>
        <w:t>n</w:t>
      </w:r>
      <w:r w:rsidRPr="00313ADC">
        <w:rPr>
          <w:rFonts w:ascii="Arial" w:hAnsi="Arial" w:cs="Arial"/>
          <w:sz w:val="24"/>
          <w:szCs w:val="24"/>
        </w:rPr>
        <w:t xml:space="preserve"> constante respeto de las garantías fundamentales del imputado y el derecho de defensa de todos los intervinientes.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Se desarrollarán los siguientes temas: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1. Los antecedentes históricos del proceso penal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2. Los principios rectores de nuestro Código Procesal Penal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3. La acción Penal.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4. Los sujetos intervinientes en el proceso penal.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5. Las principales reformas en el Código Procesal Penal que entró en vigencia el primero de enero del año 1998, Ley N. 7594 como la relación de los principios de oportunidad y legalidad; los derechos y protección de las víctimas y su participación en el proceso; las soluciones alternas de conflictos: suspensión del proceso a prueba, la conciliación; el procedimiento ordinario con sus fases preparatoria e intermedia y el juicio oral; los procedimientos especiales para </w:t>
      </w:r>
      <w:r w:rsidR="00174DBB" w:rsidRPr="00313ADC">
        <w:rPr>
          <w:rFonts w:ascii="Arial" w:hAnsi="Arial" w:cs="Arial"/>
          <w:sz w:val="24"/>
          <w:szCs w:val="24"/>
        </w:rPr>
        <w:t>juzgamientos de: C</w:t>
      </w:r>
      <w:r w:rsidRPr="00313ADC">
        <w:rPr>
          <w:rFonts w:ascii="Arial" w:hAnsi="Arial" w:cs="Arial"/>
          <w:sz w:val="24"/>
          <w:szCs w:val="24"/>
        </w:rPr>
        <w:t>ontravenciones,</w:t>
      </w:r>
      <w:r w:rsidR="00174DBB" w:rsidRPr="00313ADC">
        <w:rPr>
          <w:rFonts w:ascii="Arial" w:hAnsi="Arial" w:cs="Arial"/>
          <w:sz w:val="24"/>
          <w:szCs w:val="24"/>
        </w:rPr>
        <w:t xml:space="preserve"> Miembros de S</w:t>
      </w:r>
      <w:r w:rsidRPr="00313ADC">
        <w:rPr>
          <w:rFonts w:ascii="Arial" w:hAnsi="Arial" w:cs="Arial"/>
          <w:sz w:val="24"/>
          <w:szCs w:val="24"/>
        </w:rPr>
        <w:t xml:space="preserve">upremos </w:t>
      </w:r>
      <w:r w:rsidR="00174DBB" w:rsidRPr="00313ADC">
        <w:rPr>
          <w:rFonts w:ascii="Arial" w:hAnsi="Arial" w:cs="Arial"/>
          <w:sz w:val="24"/>
          <w:szCs w:val="24"/>
        </w:rPr>
        <w:t>Poderes, T</w:t>
      </w:r>
      <w:r w:rsidRPr="00313ADC">
        <w:rPr>
          <w:rFonts w:ascii="Arial" w:hAnsi="Arial" w:cs="Arial"/>
          <w:sz w:val="24"/>
          <w:szCs w:val="24"/>
        </w:rPr>
        <w:t xml:space="preserve">ramitación </w:t>
      </w:r>
      <w:r w:rsidR="00174DBB" w:rsidRPr="00313ADC">
        <w:rPr>
          <w:rFonts w:ascii="Arial" w:hAnsi="Arial" w:cs="Arial"/>
          <w:sz w:val="24"/>
          <w:szCs w:val="24"/>
        </w:rPr>
        <w:t>C</w:t>
      </w:r>
      <w:r w:rsidRPr="00313ADC">
        <w:rPr>
          <w:rFonts w:ascii="Arial" w:hAnsi="Arial" w:cs="Arial"/>
          <w:sz w:val="24"/>
          <w:szCs w:val="24"/>
        </w:rPr>
        <w:t xml:space="preserve">ompleja, </w:t>
      </w:r>
      <w:r w:rsidR="00174DBB" w:rsidRPr="00313ADC">
        <w:rPr>
          <w:rFonts w:ascii="Arial" w:hAnsi="Arial" w:cs="Arial"/>
          <w:sz w:val="24"/>
          <w:szCs w:val="24"/>
        </w:rPr>
        <w:t>P</w:t>
      </w:r>
      <w:r w:rsidRPr="00313ADC">
        <w:rPr>
          <w:rFonts w:ascii="Arial" w:hAnsi="Arial" w:cs="Arial"/>
          <w:sz w:val="24"/>
          <w:szCs w:val="24"/>
        </w:rPr>
        <w:t xml:space="preserve">rocedimiento </w:t>
      </w:r>
      <w:r w:rsidR="00174DBB" w:rsidRPr="00313ADC">
        <w:rPr>
          <w:rFonts w:ascii="Arial" w:hAnsi="Arial" w:cs="Arial"/>
          <w:sz w:val="24"/>
          <w:szCs w:val="24"/>
        </w:rPr>
        <w:t>Abreviado, P</w:t>
      </w:r>
      <w:r w:rsidRPr="00313ADC">
        <w:rPr>
          <w:rFonts w:ascii="Arial" w:hAnsi="Arial" w:cs="Arial"/>
          <w:sz w:val="24"/>
          <w:szCs w:val="24"/>
        </w:rPr>
        <w:t xml:space="preserve">rocediendo en </w:t>
      </w:r>
      <w:r w:rsidR="00174DBB" w:rsidRPr="00313ADC">
        <w:rPr>
          <w:rFonts w:ascii="Arial" w:hAnsi="Arial" w:cs="Arial"/>
          <w:sz w:val="24"/>
          <w:szCs w:val="24"/>
        </w:rPr>
        <w:t>delitos cometidos en Flagrancia y Procedimiento de R</w:t>
      </w:r>
      <w:r w:rsidRPr="00313ADC">
        <w:rPr>
          <w:rFonts w:ascii="Arial" w:hAnsi="Arial" w:cs="Arial"/>
          <w:sz w:val="24"/>
          <w:szCs w:val="24"/>
        </w:rPr>
        <w:t xml:space="preserve">evisión; los recursos en el proceso penal , la ejecución de las penas; y culminando con un capítulo sobre la prueba y su valoración.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lastRenderedPageBreak/>
        <w:t xml:space="preserve">OBJETIVOS GENERALES: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Hacer que el estudiante maneje adecuadamente los detalles y elementos de mayor importancia en el proceso penal, así como motivarlos en la necesidad de profundizar el estudio y preparación en esta materia, para enfrentar el reto de la casuística diaria. </w:t>
      </w:r>
      <w:r w:rsidR="00174DBB" w:rsidRPr="00313ADC">
        <w:rPr>
          <w:rFonts w:ascii="Arial" w:hAnsi="Arial" w:cs="Arial"/>
          <w:sz w:val="24"/>
          <w:szCs w:val="24"/>
        </w:rPr>
        <w:t xml:space="preserve">De igual manera incentivar en el educando una formación humanística, en el tanto la aplicación del derecho penal genera en la mayoría de los casos efectos  sociales  y humanos de gran trascendencia. 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OBJETIVOS ESPECIFICOS: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Que el alumno(a) al concluir el curso y en su función posterior profesional en cualquiera de las intervenciones posibles en el proceso penal, pueda cumplir eficientemente el cargo asumido, esencialmente ser vigilante del respeto a las garantías fundamentales y del debido proceso.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Que el alumno (a) pueda integrar, comparar y reforzar los conocimientos teóricos con la realidad de la praxis judicial litigiosa.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Igualmente que el estudiante obtenga un merco general de carácter teórico práctico a fin de poderlo asimilar en la tramitación de cualquier proceso penal.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METODOLOGÍA: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Clases impartidas por el profesor.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Asignación de lecturas con comprobación del cumplimiento mediante la participación del estudiante en clase.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Estudio de expedientes y jurisprudencia donde se comprueben los temas estudiados.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Asistencia a juicios orales y públicos previamente asignados.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EVALUACIÓN SEMESTRAL: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>Dos exámenes parciales con un valor de 60 % ( eventualmente puede sustituirse un parcial por un trabajo grupal, grupos formados por el docente y según temas asignados por el profesor.</w:t>
      </w:r>
      <w:r w:rsidR="00F86112" w:rsidRPr="00313ADC">
        <w:rPr>
          <w:rFonts w:ascii="Arial" w:hAnsi="Arial" w:cs="Arial"/>
          <w:sz w:val="24"/>
          <w:szCs w:val="24"/>
        </w:rPr>
        <w:t>)</w:t>
      </w:r>
      <w:r w:rsidRPr="00313ADC">
        <w:rPr>
          <w:rFonts w:ascii="Arial" w:hAnsi="Arial" w:cs="Arial"/>
          <w:sz w:val="24"/>
          <w:szCs w:val="24"/>
        </w:rPr>
        <w:t xml:space="preserve">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sz w:val="24"/>
          <w:szCs w:val="24"/>
        </w:rPr>
        <w:t xml:space="preserve">Un examen final con un valor de 40 %.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TEMARIO PRIMER TRIMESTRE: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TEMA I</w:t>
      </w:r>
      <w:r w:rsidRPr="00313ADC">
        <w:rPr>
          <w:rFonts w:ascii="Arial" w:hAnsi="Arial" w:cs="Arial"/>
          <w:sz w:val="24"/>
          <w:szCs w:val="24"/>
        </w:rPr>
        <w:t xml:space="preserve">: Antecedentes del Proceso Penal, sistemas en su desarrollo histórico.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TEMA II</w:t>
      </w:r>
      <w:r w:rsidRPr="00313ADC">
        <w:rPr>
          <w:rFonts w:ascii="Arial" w:hAnsi="Arial" w:cs="Arial"/>
          <w:sz w:val="24"/>
          <w:szCs w:val="24"/>
        </w:rPr>
        <w:t xml:space="preserve">: Los principios rectores del Proceso Penal vigente.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lastRenderedPageBreak/>
        <w:t>TEMA III</w:t>
      </w:r>
      <w:r w:rsidRPr="00313ADC">
        <w:rPr>
          <w:rFonts w:ascii="Arial" w:hAnsi="Arial" w:cs="Arial"/>
          <w:sz w:val="24"/>
          <w:szCs w:val="24"/>
        </w:rPr>
        <w:t xml:space="preserve">: La Acción Penal, Principio de oportunidad </w:t>
      </w:r>
      <w:r w:rsidR="00F86112" w:rsidRPr="00313ADC">
        <w:rPr>
          <w:rFonts w:ascii="Arial" w:hAnsi="Arial" w:cs="Arial"/>
          <w:sz w:val="24"/>
          <w:szCs w:val="24"/>
        </w:rPr>
        <w:t>versus Principio de Legalidad, C</w:t>
      </w:r>
      <w:r w:rsidRPr="00313ADC">
        <w:rPr>
          <w:rFonts w:ascii="Arial" w:hAnsi="Arial" w:cs="Arial"/>
          <w:sz w:val="24"/>
          <w:szCs w:val="24"/>
        </w:rPr>
        <w:t xml:space="preserve">riterios de </w:t>
      </w:r>
      <w:r w:rsidR="00F86112" w:rsidRPr="00313ADC">
        <w:rPr>
          <w:rFonts w:ascii="Arial" w:hAnsi="Arial" w:cs="Arial"/>
          <w:sz w:val="24"/>
          <w:szCs w:val="24"/>
        </w:rPr>
        <w:t>O</w:t>
      </w:r>
      <w:r w:rsidRPr="00313ADC">
        <w:rPr>
          <w:rFonts w:ascii="Arial" w:hAnsi="Arial" w:cs="Arial"/>
          <w:sz w:val="24"/>
          <w:szCs w:val="24"/>
        </w:rPr>
        <w:t xml:space="preserve">portunidad; Acción Penal Pública, Acción Privada, Conversión de Acción Pública a Privada.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TEMA IV</w:t>
      </w:r>
      <w:r w:rsidRPr="00313ADC">
        <w:rPr>
          <w:rFonts w:ascii="Arial" w:hAnsi="Arial" w:cs="Arial"/>
          <w:sz w:val="24"/>
          <w:szCs w:val="24"/>
        </w:rPr>
        <w:t>: Soluciones alternativas</w:t>
      </w:r>
      <w:r w:rsidR="00F86112" w:rsidRPr="00313ADC">
        <w:rPr>
          <w:rFonts w:ascii="Arial" w:hAnsi="Arial" w:cs="Arial"/>
          <w:sz w:val="24"/>
          <w:szCs w:val="24"/>
        </w:rPr>
        <w:t xml:space="preserve"> de conflictos: Suspensión del P</w:t>
      </w:r>
      <w:r w:rsidRPr="00313ADC">
        <w:rPr>
          <w:rFonts w:ascii="Arial" w:hAnsi="Arial" w:cs="Arial"/>
          <w:sz w:val="24"/>
          <w:szCs w:val="24"/>
        </w:rPr>
        <w:t xml:space="preserve">roceso a </w:t>
      </w:r>
      <w:r w:rsidR="00F86112" w:rsidRPr="00313ADC">
        <w:rPr>
          <w:rFonts w:ascii="Arial" w:hAnsi="Arial" w:cs="Arial"/>
          <w:sz w:val="24"/>
          <w:szCs w:val="24"/>
        </w:rPr>
        <w:t>P</w:t>
      </w:r>
      <w:r w:rsidRPr="00313ADC">
        <w:rPr>
          <w:rFonts w:ascii="Arial" w:hAnsi="Arial" w:cs="Arial"/>
          <w:sz w:val="24"/>
          <w:szCs w:val="24"/>
        </w:rPr>
        <w:t xml:space="preserve">rueba, Conciliación, Extinción de la Acción Penal por reparación integral del daño, el pago </w:t>
      </w:r>
      <w:r w:rsidR="00F86112" w:rsidRPr="00313ADC">
        <w:rPr>
          <w:rFonts w:ascii="Arial" w:hAnsi="Arial" w:cs="Arial"/>
          <w:sz w:val="24"/>
          <w:szCs w:val="24"/>
        </w:rPr>
        <w:t>máximo</w:t>
      </w:r>
      <w:r w:rsidRPr="00313ADC">
        <w:rPr>
          <w:rFonts w:ascii="Arial" w:hAnsi="Arial" w:cs="Arial"/>
          <w:sz w:val="24"/>
          <w:szCs w:val="24"/>
        </w:rPr>
        <w:t xml:space="preserve"> de la multa con causa extintora de la acción penal.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TEMA V: </w:t>
      </w:r>
      <w:r w:rsidRPr="00313ADC">
        <w:rPr>
          <w:rFonts w:ascii="Arial" w:hAnsi="Arial" w:cs="Arial"/>
          <w:sz w:val="24"/>
          <w:szCs w:val="24"/>
        </w:rPr>
        <w:t xml:space="preserve">Los intervinientes en el Proceso Penal: el Órgano Jurisdiccional y la Independencia Judicial; el Ministerio Público y su subordinado la Policía Judicial, diferencia entre función represiva y preventiva; el acusado y su defensa, derechos y diferencia entre defensa material y defensa técnica; la participación de la víctima y sus derechos </w:t>
      </w:r>
      <w:proofErr w:type="spellStart"/>
      <w:r w:rsidRPr="00313ADC">
        <w:rPr>
          <w:rFonts w:ascii="Arial" w:hAnsi="Arial" w:cs="Arial"/>
          <w:sz w:val="24"/>
          <w:szCs w:val="24"/>
        </w:rPr>
        <w:t>intra</w:t>
      </w:r>
      <w:proofErr w:type="spellEnd"/>
      <w:r w:rsidRPr="00313ADC">
        <w:rPr>
          <w:rFonts w:ascii="Arial" w:hAnsi="Arial" w:cs="Arial"/>
          <w:sz w:val="24"/>
          <w:szCs w:val="24"/>
        </w:rPr>
        <w:t xml:space="preserve"> y extra procesales, su intervención como Querellante o Actor Civil; </w:t>
      </w:r>
      <w:r w:rsidR="00F86112" w:rsidRPr="00313ADC">
        <w:rPr>
          <w:rFonts w:ascii="Arial" w:hAnsi="Arial" w:cs="Arial"/>
          <w:sz w:val="24"/>
          <w:szCs w:val="24"/>
        </w:rPr>
        <w:t xml:space="preserve"> y el Demandado Civil</w:t>
      </w:r>
      <w:r w:rsidRPr="00313ADC">
        <w:rPr>
          <w:rFonts w:ascii="Arial" w:hAnsi="Arial" w:cs="Arial"/>
          <w:sz w:val="24"/>
          <w:szCs w:val="24"/>
        </w:rPr>
        <w:t xml:space="preserve">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TEMA VI: </w:t>
      </w:r>
      <w:r w:rsidRPr="00313ADC">
        <w:rPr>
          <w:rFonts w:ascii="Arial" w:hAnsi="Arial" w:cs="Arial"/>
          <w:sz w:val="24"/>
          <w:szCs w:val="24"/>
        </w:rPr>
        <w:t xml:space="preserve">La </w:t>
      </w:r>
      <w:r w:rsidR="00F655B1" w:rsidRPr="00313ADC">
        <w:rPr>
          <w:rFonts w:ascii="Arial" w:hAnsi="Arial" w:cs="Arial"/>
          <w:sz w:val="24"/>
          <w:szCs w:val="24"/>
        </w:rPr>
        <w:t>P</w:t>
      </w:r>
      <w:r w:rsidRPr="00313ADC">
        <w:rPr>
          <w:rFonts w:ascii="Arial" w:hAnsi="Arial" w:cs="Arial"/>
          <w:sz w:val="24"/>
          <w:szCs w:val="24"/>
        </w:rPr>
        <w:t>rescripción de la</w:t>
      </w:r>
      <w:r w:rsidR="00F655B1" w:rsidRPr="00313ADC">
        <w:rPr>
          <w:rFonts w:ascii="Arial" w:hAnsi="Arial" w:cs="Arial"/>
          <w:sz w:val="24"/>
          <w:szCs w:val="24"/>
        </w:rPr>
        <w:t xml:space="preserve"> Acción </w:t>
      </w:r>
      <w:r w:rsidRPr="00313ADC">
        <w:rPr>
          <w:rFonts w:ascii="Arial" w:hAnsi="Arial" w:cs="Arial"/>
          <w:sz w:val="24"/>
          <w:szCs w:val="24"/>
        </w:rPr>
        <w:t xml:space="preserve"> Penal, diferencia entre suspensión y prescripción, su consecuencia legal.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TEMARIO SEGUNDO SEMESTRE</w:t>
      </w:r>
      <w:r w:rsidRPr="00313ADC">
        <w:rPr>
          <w:rFonts w:ascii="Arial" w:hAnsi="Arial" w:cs="Arial"/>
          <w:sz w:val="24"/>
          <w:szCs w:val="24"/>
        </w:rPr>
        <w:t xml:space="preserve">: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TEMA VII: </w:t>
      </w:r>
      <w:r w:rsidRPr="00313ADC">
        <w:rPr>
          <w:rFonts w:ascii="Arial" w:hAnsi="Arial" w:cs="Arial"/>
          <w:sz w:val="24"/>
          <w:szCs w:val="24"/>
        </w:rPr>
        <w:t xml:space="preserve">Actividad procesal defectuosa.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TEMA VIII: </w:t>
      </w:r>
      <w:r w:rsidRPr="00313ADC">
        <w:rPr>
          <w:rFonts w:ascii="Arial" w:hAnsi="Arial" w:cs="Arial"/>
          <w:sz w:val="24"/>
          <w:szCs w:val="24"/>
        </w:rPr>
        <w:t xml:space="preserve">Procedimiento Ordinario, Procedimiento Preparatorio e intermedio.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TEMA IX</w:t>
      </w:r>
      <w:r w:rsidRPr="00313ADC">
        <w:rPr>
          <w:rFonts w:ascii="Arial" w:hAnsi="Arial" w:cs="Arial"/>
          <w:sz w:val="24"/>
          <w:szCs w:val="24"/>
        </w:rPr>
        <w:t xml:space="preserve">: Procedimientos especiales; Procedimiento Abreviado, Procedimiento de Tramitación Compleja, Procedimientos de Delitos de Acción Privada, Procedimiento Contravencional, Procedimiento para juzgar Miembros de Supremos Poderes, Procedimiento de </w:t>
      </w:r>
      <w:r w:rsidR="00F655B1" w:rsidRPr="00313ADC">
        <w:rPr>
          <w:rFonts w:ascii="Arial" w:hAnsi="Arial" w:cs="Arial"/>
          <w:sz w:val="24"/>
          <w:szCs w:val="24"/>
        </w:rPr>
        <w:t>Delitos cometidos en F</w:t>
      </w:r>
      <w:r w:rsidRPr="00313ADC">
        <w:rPr>
          <w:rFonts w:ascii="Arial" w:hAnsi="Arial" w:cs="Arial"/>
          <w:sz w:val="24"/>
          <w:szCs w:val="24"/>
        </w:rPr>
        <w:t xml:space="preserve">lagrancia y </w:t>
      </w:r>
      <w:r w:rsidR="00F655B1" w:rsidRPr="00313ADC">
        <w:rPr>
          <w:rFonts w:ascii="Arial" w:hAnsi="Arial" w:cs="Arial"/>
          <w:sz w:val="24"/>
          <w:szCs w:val="24"/>
        </w:rPr>
        <w:t>P</w:t>
      </w:r>
      <w:r w:rsidRPr="00313ADC">
        <w:rPr>
          <w:rFonts w:ascii="Arial" w:hAnsi="Arial" w:cs="Arial"/>
          <w:sz w:val="24"/>
          <w:szCs w:val="24"/>
        </w:rPr>
        <w:t>rocedi</w:t>
      </w:r>
      <w:r w:rsidR="00F655B1" w:rsidRPr="00313ADC">
        <w:rPr>
          <w:rFonts w:ascii="Arial" w:hAnsi="Arial" w:cs="Arial"/>
          <w:sz w:val="24"/>
          <w:szCs w:val="24"/>
        </w:rPr>
        <w:t>mientos de R</w:t>
      </w:r>
      <w:r w:rsidRPr="00313ADC">
        <w:rPr>
          <w:rFonts w:ascii="Arial" w:hAnsi="Arial" w:cs="Arial"/>
          <w:sz w:val="24"/>
          <w:szCs w:val="24"/>
        </w:rPr>
        <w:t xml:space="preserve">evisión 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TEMA X: </w:t>
      </w:r>
      <w:r w:rsidRPr="00313ADC">
        <w:rPr>
          <w:rFonts w:ascii="Arial" w:hAnsi="Arial" w:cs="Arial"/>
          <w:sz w:val="24"/>
          <w:szCs w:val="24"/>
        </w:rPr>
        <w:t xml:space="preserve">El juicio oral y público. </w:t>
      </w:r>
    </w:p>
    <w:p w:rsidR="00F655B1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TEMA XI</w:t>
      </w:r>
      <w:r w:rsidRPr="00313ADC">
        <w:rPr>
          <w:rFonts w:ascii="Arial" w:hAnsi="Arial" w:cs="Arial"/>
          <w:sz w:val="24"/>
          <w:szCs w:val="24"/>
        </w:rPr>
        <w:t xml:space="preserve">: </w:t>
      </w:r>
      <w:r w:rsidR="00F655B1" w:rsidRPr="00313ADC">
        <w:rPr>
          <w:rFonts w:ascii="Arial" w:hAnsi="Arial" w:cs="Arial"/>
          <w:sz w:val="24"/>
          <w:szCs w:val="24"/>
        </w:rPr>
        <w:t xml:space="preserve">Los recursos en el Proceso Penal. </w:t>
      </w:r>
      <w:r w:rsidR="001E2EA9">
        <w:rPr>
          <w:rFonts w:ascii="Arial" w:hAnsi="Arial" w:cs="Arial"/>
          <w:sz w:val="24"/>
          <w:szCs w:val="24"/>
        </w:rPr>
        <w:t xml:space="preserve">(Revocatoria, Apelación en tramitación o simple, Apelación de Sentencia, y Casación). </w:t>
      </w:r>
    </w:p>
    <w:p w:rsidR="00F655B1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TEMA XII</w:t>
      </w:r>
      <w:r w:rsidRPr="00313ADC">
        <w:rPr>
          <w:rFonts w:ascii="Arial" w:hAnsi="Arial" w:cs="Arial"/>
          <w:sz w:val="24"/>
          <w:szCs w:val="24"/>
        </w:rPr>
        <w:t xml:space="preserve">: </w:t>
      </w:r>
      <w:r w:rsidR="00F655B1" w:rsidRPr="00313ADC">
        <w:rPr>
          <w:rFonts w:ascii="Arial" w:hAnsi="Arial" w:cs="Arial"/>
          <w:sz w:val="24"/>
          <w:szCs w:val="24"/>
        </w:rPr>
        <w:t xml:space="preserve">La prueba en el Proceso Penal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BIBLIOGRAFÍA OBLIGATORIA: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1</w:t>
      </w:r>
      <w:r w:rsidRPr="00313ADC">
        <w:rPr>
          <w:rFonts w:ascii="Arial" w:hAnsi="Arial" w:cs="Arial"/>
          <w:sz w:val="24"/>
          <w:szCs w:val="24"/>
        </w:rPr>
        <w:t xml:space="preserve">. Tratado de Derecho Penal Costarricense, Tomos I y II, Asociación de Ciencias Penales de Costa Rica, primera edición, San José, 2007.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313ADC">
        <w:rPr>
          <w:rFonts w:ascii="Arial" w:hAnsi="Arial" w:cs="Arial"/>
          <w:sz w:val="24"/>
          <w:szCs w:val="24"/>
        </w:rPr>
        <w:t xml:space="preserve">González Álvarez, Daniel y otro, Los Principios del Sistema Procesal Mixto Moderno, ILANUD, San José, 1991.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3</w:t>
      </w:r>
      <w:r w:rsidRPr="00313ADC">
        <w:rPr>
          <w:rFonts w:ascii="Arial" w:hAnsi="Arial" w:cs="Arial"/>
          <w:sz w:val="24"/>
          <w:szCs w:val="24"/>
        </w:rPr>
        <w:t xml:space="preserve">. Cruz, Fernando. La función acusadora en el Proceso Penal Moderno, ILANUD, San José, 1991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lastRenderedPageBreak/>
        <w:t xml:space="preserve">4. </w:t>
      </w:r>
      <w:r w:rsidRPr="00313ADC">
        <w:rPr>
          <w:rFonts w:ascii="Arial" w:hAnsi="Arial" w:cs="Arial"/>
          <w:sz w:val="24"/>
          <w:szCs w:val="24"/>
        </w:rPr>
        <w:t xml:space="preserve">Cruz, Fernando. La defensa penal y la independencia judicial en un Estado de Derecho. ILANUD, San José 1991. 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>5</w:t>
      </w:r>
      <w:r w:rsidRPr="00313ADC">
        <w:rPr>
          <w:rFonts w:ascii="Arial" w:hAnsi="Arial" w:cs="Arial"/>
          <w:sz w:val="24"/>
          <w:szCs w:val="24"/>
        </w:rPr>
        <w:t>. C</w:t>
      </w:r>
      <w:r w:rsidR="001E2EA9">
        <w:rPr>
          <w:rFonts w:ascii="Arial" w:hAnsi="Arial" w:cs="Arial"/>
          <w:sz w:val="24"/>
          <w:szCs w:val="24"/>
        </w:rPr>
        <w:t>ódigo Procesal Penal, vigente y sus reformas.</w:t>
      </w:r>
    </w:p>
    <w:p w:rsidR="001C12D6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6. </w:t>
      </w:r>
      <w:r w:rsidRPr="00313ADC">
        <w:rPr>
          <w:rFonts w:ascii="Arial" w:hAnsi="Arial" w:cs="Arial"/>
          <w:sz w:val="24"/>
          <w:szCs w:val="24"/>
        </w:rPr>
        <w:t>Libro “ Proceso Penal Comentado” de</w:t>
      </w:r>
      <w:r w:rsidR="00F655B1" w:rsidRPr="00313ADC">
        <w:rPr>
          <w:rFonts w:ascii="Arial" w:hAnsi="Arial" w:cs="Arial"/>
          <w:sz w:val="24"/>
          <w:szCs w:val="24"/>
        </w:rPr>
        <w:t xml:space="preserve">l Dr. </w:t>
      </w:r>
      <w:r w:rsidRPr="00313ADC">
        <w:rPr>
          <w:rFonts w:ascii="Arial" w:hAnsi="Arial" w:cs="Arial"/>
          <w:sz w:val="24"/>
          <w:szCs w:val="24"/>
        </w:rPr>
        <w:t xml:space="preserve"> Javier </w:t>
      </w:r>
      <w:proofErr w:type="spellStart"/>
      <w:r w:rsidRPr="00313ADC">
        <w:rPr>
          <w:rFonts w:ascii="Arial" w:hAnsi="Arial" w:cs="Arial"/>
          <w:sz w:val="24"/>
          <w:szCs w:val="24"/>
        </w:rPr>
        <w:t>Llobet</w:t>
      </w:r>
      <w:proofErr w:type="spellEnd"/>
      <w:r w:rsidRPr="00313ADC">
        <w:rPr>
          <w:rFonts w:ascii="Arial" w:hAnsi="Arial" w:cs="Arial"/>
          <w:sz w:val="24"/>
          <w:szCs w:val="24"/>
        </w:rPr>
        <w:t xml:space="preserve"> Rodríguez, Editorial Jurídica Continental, IV edición, San José, Costa Rica , año 2009. </w:t>
      </w:r>
    </w:p>
    <w:p w:rsidR="002C1A09" w:rsidRPr="00313ADC" w:rsidRDefault="001C12D6" w:rsidP="00313ADC">
      <w:pPr>
        <w:jc w:val="both"/>
        <w:rPr>
          <w:rFonts w:ascii="Arial" w:hAnsi="Arial" w:cs="Arial"/>
          <w:sz w:val="24"/>
          <w:szCs w:val="24"/>
        </w:rPr>
      </w:pPr>
      <w:r w:rsidRPr="00313ADC">
        <w:rPr>
          <w:rFonts w:ascii="Arial" w:hAnsi="Arial" w:cs="Arial"/>
          <w:b/>
          <w:bCs/>
          <w:sz w:val="24"/>
          <w:szCs w:val="24"/>
        </w:rPr>
        <w:t xml:space="preserve">7. </w:t>
      </w:r>
      <w:r w:rsidRPr="00313ADC">
        <w:rPr>
          <w:rFonts w:ascii="Arial" w:hAnsi="Arial" w:cs="Arial"/>
          <w:sz w:val="24"/>
          <w:szCs w:val="24"/>
        </w:rPr>
        <w:t>La valoración de la Prueba Indiciaria. Ponencia del Lic., Luis Alberto Víquez Arias, en el seminario Internacional sobre Control del Tráfico Ilícito de Drogas y la Legitimación de capitales provenientes del Narcotráfico y actividades conexas, Centroamérica y México, año 2000.</w:t>
      </w:r>
    </w:p>
    <w:sectPr w:rsidR="002C1A09" w:rsidRPr="00313ADC" w:rsidSect="005F3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2D6"/>
    <w:rsid w:val="000046C4"/>
    <w:rsid w:val="00174DBB"/>
    <w:rsid w:val="001C12D6"/>
    <w:rsid w:val="001E2EA9"/>
    <w:rsid w:val="002B277B"/>
    <w:rsid w:val="002C1A09"/>
    <w:rsid w:val="00313ADC"/>
    <w:rsid w:val="005F3DCC"/>
    <w:rsid w:val="00603E62"/>
    <w:rsid w:val="00744736"/>
    <w:rsid w:val="00BB0A41"/>
    <w:rsid w:val="00D0483A"/>
    <w:rsid w:val="00F655B1"/>
    <w:rsid w:val="00F8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36"/>
    <w:pPr>
      <w:spacing w:after="180" w:line="27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4473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7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4736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4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4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4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4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4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lName">
    <w:name w:val="Personal Name"/>
    <w:basedOn w:val="Ttulo"/>
    <w:qFormat/>
    <w:rsid w:val="00744736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4473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4736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44736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4736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44736"/>
    <w:rPr>
      <w:rFonts w:eastAsiaTheme="majorEastAsia" w:cstheme="majorBidi"/>
      <w:b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44736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4736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473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4736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473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73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44736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44736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SubttuloCar">
    <w:name w:val="Subtítulo Car"/>
    <w:basedOn w:val="Fuentedeprrafopredeter"/>
    <w:link w:val="Subttulo"/>
    <w:uiPriority w:val="11"/>
    <w:rsid w:val="00744736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Textoennegrita">
    <w:name w:val="Strong"/>
    <w:basedOn w:val="Fuentedeprrafopredeter"/>
    <w:uiPriority w:val="22"/>
    <w:qFormat/>
    <w:rsid w:val="00744736"/>
    <w:rPr>
      <w:b/>
      <w:bCs/>
      <w:color w:val="265898" w:themeColor="text2" w:themeTint="E6"/>
    </w:rPr>
  </w:style>
  <w:style w:type="character" w:styleId="nfasis">
    <w:name w:val="Emphasis"/>
    <w:basedOn w:val="Fuentedeprrafopredeter"/>
    <w:uiPriority w:val="20"/>
    <w:qFormat/>
    <w:rsid w:val="00744736"/>
    <w:rPr>
      <w:b w:val="0"/>
      <w:i/>
      <w:iCs/>
      <w:color w:val="1F497D" w:themeColor="text2"/>
    </w:rPr>
  </w:style>
  <w:style w:type="paragraph" w:styleId="Sinespaciado">
    <w:name w:val="No Spacing"/>
    <w:link w:val="SinespaciadoCar"/>
    <w:uiPriority w:val="1"/>
    <w:qFormat/>
    <w:rsid w:val="0074473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44736"/>
  </w:style>
  <w:style w:type="paragraph" w:styleId="Prrafodelista">
    <w:name w:val="List Paragraph"/>
    <w:basedOn w:val="Normal"/>
    <w:uiPriority w:val="34"/>
    <w:qFormat/>
    <w:rsid w:val="0074473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744736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744736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4736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4736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nfasissutil">
    <w:name w:val="Subtle Emphasis"/>
    <w:basedOn w:val="Fuentedeprrafopredeter"/>
    <w:uiPriority w:val="19"/>
    <w:qFormat/>
    <w:rsid w:val="00744736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744736"/>
    <w:rPr>
      <w:b/>
      <w:bCs/>
      <w:i/>
      <w:iCs/>
      <w:color w:val="1F497D" w:themeColor="text2"/>
    </w:rPr>
  </w:style>
  <w:style w:type="character" w:styleId="Referenciasutil">
    <w:name w:val="Subtle Reference"/>
    <w:basedOn w:val="Fuentedeprrafopredeter"/>
    <w:uiPriority w:val="31"/>
    <w:qFormat/>
    <w:rsid w:val="00744736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744736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sid w:val="00744736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44736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36"/>
    <w:pPr>
      <w:spacing w:after="180" w:line="27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4473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7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4736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4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4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4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4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4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lName">
    <w:name w:val="Personal Name"/>
    <w:basedOn w:val="Ttulo"/>
    <w:qFormat/>
    <w:rsid w:val="00744736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4473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sid w:val="00744736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tulo1Car">
    <w:name w:val="Título 1 Car"/>
    <w:basedOn w:val="Fuentedeprrafopredeter"/>
    <w:link w:val="Ttulo1"/>
    <w:uiPriority w:val="9"/>
    <w:rsid w:val="00744736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4736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44736"/>
    <w:rPr>
      <w:rFonts w:eastAsiaTheme="majorEastAsia" w:cstheme="majorBidi"/>
      <w:b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44736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4736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473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4736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473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73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44736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44736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tuloCar">
    <w:name w:val="Subtítulo Car"/>
    <w:basedOn w:val="Fuentedeprrafopredeter"/>
    <w:link w:val="Subttulo"/>
    <w:uiPriority w:val="11"/>
    <w:rsid w:val="00744736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Textoennegrita">
    <w:name w:val="Strong"/>
    <w:basedOn w:val="Fuentedeprrafopredeter"/>
    <w:uiPriority w:val="22"/>
    <w:qFormat/>
    <w:rsid w:val="00744736"/>
    <w:rPr>
      <w:b/>
      <w:bCs/>
      <w:color w:val="265898" w:themeColor="text2" w:themeTint="E6"/>
    </w:rPr>
  </w:style>
  <w:style w:type="character" w:styleId="nfasis">
    <w:name w:val="Emphasis"/>
    <w:basedOn w:val="Fuentedeprrafopredeter"/>
    <w:uiPriority w:val="20"/>
    <w:qFormat/>
    <w:rsid w:val="00744736"/>
    <w:rPr>
      <w:b w:val="0"/>
      <w:i/>
      <w:iCs/>
      <w:color w:val="1F497D" w:themeColor="text2"/>
    </w:rPr>
  </w:style>
  <w:style w:type="paragraph" w:styleId="Sinespaciado">
    <w:name w:val="No Spacing"/>
    <w:link w:val="SinespaciadoCar"/>
    <w:uiPriority w:val="1"/>
    <w:qFormat/>
    <w:rsid w:val="0074473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44736"/>
  </w:style>
  <w:style w:type="paragraph" w:styleId="Prrafodelista">
    <w:name w:val="List Paragraph"/>
    <w:basedOn w:val="Normal"/>
    <w:uiPriority w:val="34"/>
    <w:qFormat/>
    <w:rsid w:val="0074473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744736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744736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4736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4736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sid w:val="00744736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744736"/>
    <w:rPr>
      <w:b/>
      <w:bCs/>
      <w:i/>
      <w:iCs/>
      <w:color w:val="1F497D" w:themeColor="text2"/>
    </w:rPr>
  </w:style>
  <w:style w:type="character" w:styleId="Referenciasutil">
    <w:name w:val="Subtle Reference"/>
    <w:basedOn w:val="Fuentedeprrafopredeter"/>
    <w:uiPriority w:val="31"/>
    <w:qFormat/>
    <w:rsid w:val="00744736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744736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sid w:val="00744736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44736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939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Karen</cp:lastModifiedBy>
  <cp:revision>8</cp:revision>
  <cp:lastPrinted>2015-03-11T15:54:00Z</cp:lastPrinted>
  <dcterms:created xsi:type="dcterms:W3CDTF">2015-03-10T17:23:00Z</dcterms:created>
  <dcterms:modified xsi:type="dcterms:W3CDTF">2016-03-04T15:38:00Z</dcterms:modified>
</cp:coreProperties>
</file>