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EF" w:rsidRPr="00E55265" w:rsidRDefault="00323EEF" w:rsidP="00E55265">
      <w:pPr>
        <w:pStyle w:val="Sangradetextonormal"/>
        <w:contextualSpacing/>
        <w:jc w:val="center"/>
        <w:rPr>
          <w:rFonts w:ascii="Arial" w:hAnsi="Arial" w:cs="Arial"/>
          <w:sz w:val="24"/>
          <w:szCs w:val="24"/>
          <w:u w:val="none"/>
        </w:rPr>
      </w:pPr>
      <w:r w:rsidRPr="00E55265">
        <w:rPr>
          <w:rFonts w:ascii="Arial" w:hAnsi="Arial" w:cs="Arial"/>
          <w:sz w:val="24"/>
          <w:szCs w:val="24"/>
          <w:u w:val="none"/>
        </w:rPr>
        <w:t>UNIVERSIDAD DE COSTA RICA</w:t>
      </w:r>
    </w:p>
    <w:p w:rsidR="00323EEF" w:rsidRPr="00E55265" w:rsidRDefault="00323EEF" w:rsidP="00E55265">
      <w:pPr>
        <w:pStyle w:val="Sangradetextonormal"/>
        <w:contextualSpacing/>
        <w:jc w:val="center"/>
        <w:rPr>
          <w:rFonts w:ascii="Arial" w:hAnsi="Arial" w:cs="Arial"/>
          <w:sz w:val="24"/>
          <w:szCs w:val="24"/>
          <w:u w:val="none"/>
        </w:rPr>
      </w:pPr>
      <w:r w:rsidRPr="00E55265">
        <w:rPr>
          <w:rFonts w:ascii="Arial" w:hAnsi="Arial" w:cs="Arial"/>
          <w:sz w:val="24"/>
          <w:szCs w:val="24"/>
          <w:u w:val="none"/>
        </w:rPr>
        <w:t>FACULTAD DE DERECHO</w:t>
      </w:r>
    </w:p>
    <w:p w:rsidR="00323EEF" w:rsidRPr="00E55265" w:rsidRDefault="00323EEF" w:rsidP="00E55265">
      <w:pPr>
        <w:pStyle w:val="Sangradetextonormal"/>
        <w:contextualSpacing/>
        <w:jc w:val="center"/>
        <w:rPr>
          <w:rFonts w:ascii="Arial" w:hAnsi="Arial" w:cs="Arial"/>
          <w:sz w:val="24"/>
          <w:szCs w:val="24"/>
          <w:u w:val="none"/>
        </w:rPr>
      </w:pPr>
    </w:p>
    <w:p w:rsidR="00323EEF" w:rsidRPr="00E55265" w:rsidRDefault="00323EEF" w:rsidP="00E55265">
      <w:pPr>
        <w:pStyle w:val="Sangradetextonormal"/>
        <w:contextualSpacing/>
        <w:jc w:val="center"/>
        <w:rPr>
          <w:rFonts w:ascii="Arial" w:hAnsi="Arial" w:cs="Arial"/>
          <w:sz w:val="24"/>
          <w:szCs w:val="24"/>
          <w:u w:val="none"/>
        </w:rPr>
      </w:pPr>
      <w:r w:rsidRPr="00E55265">
        <w:rPr>
          <w:rFonts w:ascii="Arial" w:hAnsi="Arial" w:cs="Arial"/>
          <w:sz w:val="24"/>
          <w:szCs w:val="24"/>
          <w:u w:val="none"/>
        </w:rPr>
        <w:t>PROGRAMA DEL CURSO</w:t>
      </w:r>
    </w:p>
    <w:p w:rsidR="00323EEF" w:rsidRPr="00E55265" w:rsidRDefault="00323EEF" w:rsidP="00E55265">
      <w:pPr>
        <w:pStyle w:val="Sangradetextonormal"/>
        <w:contextualSpacing/>
        <w:jc w:val="center"/>
        <w:rPr>
          <w:rFonts w:ascii="Arial" w:hAnsi="Arial" w:cs="Arial"/>
          <w:sz w:val="24"/>
          <w:szCs w:val="24"/>
          <w:u w:val="none"/>
        </w:rPr>
      </w:pPr>
      <w:r w:rsidRPr="00E55265">
        <w:rPr>
          <w:rFonts w:ascii="Arial" w:hAnsi="Arial" w:cs="Arial"/>
          <w:sz w:val="24"/>
          <w:szCs w:val="24"/>
          <w:u w:val="none"/>
        </w:rPr>
        <w:t>DE-</w:t>
      </w:r>
      <w:r w:rsidR="00477A31" w:rsidRPr="00E55265">
        <w:rPr>
          <w:rFonts w:ascii="Arial" w:hAnsi="Arial" w:cs="Arial"/>
          <w:sz w:val="24"/>
          <w:szCs w:val="24"/>
          <w:u w:val="none"/>
        </w:rPr>
        <w:t>4010</w:t>
      </w:r>
    </w:p>
    <w:p w:rsidR="00323EEF" w:rsidRPr="00E55265" w:rsidRDefault="00AA2EA2" w:rsidP="00E55265">
      <w:pPr>
        <w:pStyle w:val="Sangradetextonormal"/>
        <w:contextualSpacing/>
        <w:jc w:val="center"/>
        <w:rPr>
          <w:rFonts w:ascii="Arial" w:hAnsi="Arial" w:cs="Arial"/>
          <w:sz w:val="24"/>
          <w:szCs w:val="24"/>
        </w:rPr>
      </w:pPr>
      <w:r w:rsidRPr="00E55265">
        <w:rPr>
          <w:rFonts w:ascii="Arial" w:hAnsi="Arial" w:cs="Arial"/>
          <w:sz w:val="24"/>
          <w:szCs w:val="24"/>
          <w:u w:val="none"/>
        </w:rPr>
        <w:t>DERECHO DE LA CONTRATACIÓN PRIVADA II</w:t>
      </w:r>
    </w:p>
    <w:p w:rsidR="00323EEF" w:rsidRPr="00E55265" w:rsidRDefault="00323EEF" w:rsidP="00E55265">
      <w:pPr>
        <w:contextualSpacing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16"/>
        <w:gridCol w:w="3097"/>
      </w:tblGrid>
      <w:tr w:rsidR="00323EEF" w:rsidRPr="00E55265">
        <w:tc>
          <w:tcPr>
            <w:tcW w:w="3516" w:type="dxa"/>
            <w:shd w:val="clear" w:color="auto" w:fill="FFFFFF"/>
          </w:tcPr>
          <w:p w:rsidR="00323EEF" w:rsidRPr="00E55265" w:rsidRDefault="00323EEF" w:rsidP="00E55265">
            <w:pPr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Nivel de la carrera:</w:t>
            </w:r>
          </w:p>
          <w:p w:rsidR="00323EEF" w:rsidRPr="00E55265" w:rsidRDefault="00323EEF" w:rsidP="00E55265">
            <w:pPr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Créditos:</w:t>
            </w:r>
          </w:p>
          <w:p w:rsidR="003420D2" w:rsidRPr="00E55265" w:rsidRDefault="003420D2" w:rsidP="00E55265">
            <w:pPr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Horas semanales</w:t>
            </w:r>
          </w:p>
          <w:p w:rsidR="00323EEF" w:rsidRPr="00E55265" w:rsidRDefault="00323EEF" w:rsidP="00E55265">
            <w:pPr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Año:</w:t>
            </w:r>
          </w:p>
          <w:p w:rsidR="00323EEF" w:rsidRPr="00E55265" w:rsidRDefault="00323EEF" w:rsidP="00E55265">
            <w:pPr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Ciclo:</w:t>
            </w:r>
          </w:p>
          <w:p w:rsidR="00323EEF" w:rsidRPr="00E55265" w:rsidRDefault="00323EEF" w:rsidP="00E55265">
            <w:pPr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 xml:space="preserve">Requisitos y </w:t>
            </w:r>
            <w:proofErr w:type="spellStart"/>
            <w:r w:rsidRPr="00E55265">
              <w:rPr>
                <w:rFonts w:ascii="Arial" w:hAnsi="Arial" w:cs="Arial"/>
                <w:b/>
              </w:rPr>
              <w:t>Correquisitos</w:t>
            </w:r>
            <w:proofErr w:type="spellEnd"/>
          </w:p>
        </w:tc>
        <w:tc>
          <w:tcPr>
            <w:tcW w:w="3097" w:type="dxa"/>
            <w:shd w:val="clear" w:color="auto" w:fill="FFFFFF"/>
          </w:tcPr>
          <w:p w:rsidR="00323EEF" w:rsidRPr="00E55265" w:rsidRDefault="00477A31" w:rsidP="00E55265">
            <w:pPr>
              <w:ind w:left="131"/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 xml:space="preserve">Cuarto </w:t>
            </w:r>
            <w:r w:rsidR="00323EEF" w:rsidRPr="00E55265">
              <w:rPr>
                <w:rFonts w:ascii="Arial" w:hAnsi="Arial" w:cs="Arial"/>
                <w:b/>
              </w:rPr>
              <w:t>año</w:t>
            </w:r>
          </w:p>
          <w:p w:rsidR="00323EEF" w:rsidRPr="00E55265" w:rsidRDefault="00477A31" w:rsidP="00E55265">
            <w:pPr>
              <w:ind w:left="97"/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2</w:t>
            </w:r>
          </w:p>
          <w:p w:rsidR="003420D2" w:rsidRPr="00E55265" w:rsidRDefault="003420D2" w:rsidP="00E55265">
            <w:pPr>
              <w:ind w:left="97"/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6</w:t>
            </w:r>
          </w:p>
          <w:p w:rsidR="00323EEF" w:rsidRPr="00E55265" w:rsidRDefault="00AA2EA2" w:rsidP="00E55265">
            <w:pPr>
              <w:ind w:left="97"/>
              <w:contextualSpacing/>
              <w:rPr>
                <w:rFonts w:ascii="Arial" w:eastAsia="Times" w:hAnsi="Arial" w:cs="Arial"/>
                <w:b/>
              </w:rPr>
            </w:pPr>
            <w:r w:rsidRPr="00E55265">
              <w:rPr>
                <w:rFonts w:ascii="Arial" w:hAnsi="Arial" w:cs="Arial"/>
                <w:b/>
              </w:rPr>
              <w:t>201</w:t>
            </w:r>
            <w:r w:rsidR="00B73E50" w:rsidRPr="00E55265">
              <w:rPr>
                <w:rFonts w:ascii="Arial" w:hAnsi="Arial" w:cs="Arial"/>
                <w:b/>
              </w:rPr>
              <w:t>6</w:t>
            </w:r>
          </w:p>
          <w:p w:rsidR="00323EEF" w:rsidRPr="00E55265" w:rsidRDefault="00323EEF" w:rsidP="00E55265">
            <w:pPr>
              <w:ind w:left="64"/>
              <w:contextualSpacing/>
              <w:rPr>
                <w:rFonts w:ascii="Arial" w:hAnsi="Arial" w:cs="Arial"/>
                <w:b/>
              </w:rPr>
            </w:pPr>
            <w:r w:rsidRPr="00E55265">
              <w:rPr>
                <w:rFonts w:ascii="Arial" w:eastAsia="Times" w:hAnsi="Arial" w:cs="Arial"/>
                <w:b/>
              </w:rPr>
              <w:t xml:space="preserve"> </w:t>
            </w:r>
            <w:r w:rsidRPr="00E55265">
              <w:rPr>
                <w:rFonts w:ascii="Arial" w:hAnsi="Arial" w:cs="Arial"/>
                <w:b/>
              </w:rPr>
              <w:t>II</w:t>
            </w:r>
          </w:p>
          <w:p w:rsidR="00323EEF" w:rsidRPr="00E55265" w:rsidRDefault="00323EEF" w:rsidP="00E55265">
            <w:pPr>
              <w:ind w:left="64"/>
              <w:contextualSpacing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  <w:b/>
              </w:rPr>
              <w:t>DE-</w:t>
            </w:r>
            <w:r w:rsidR="00477A31" w:rsidRPr="00E55265">
              <w:rPr>
                <w:rFonts w:ascii="Arial" w:hAnsi="Arial" w:cs="Arial"/>
                <w:b/>
              </w:rPr>
              <w:t>4004</w:t>
            </w:r>
          </w:p>
        </w:tc>
      </w:tr>
    </w:tbl>
    <w:p w:rsidR="00323EEF" w:rsidRPr="00E55265" w:rsidRDefault="00323EEF" w:rsidP="00E55265">
      <w:pPr>
        <w:pStyle w:val="Sangradetextonormal"/>
        <w:contextualSpacing/>
        <w:jc w:val="both"/>
        <w:rPr>
          <w:rFonts w:ascii="Arial" w:hAnsi="Arial" w:cs="Arial"/>
          <w:sz w:val="24"/>
          <w:szCs w:val="24"/>
          <w:u w:val="none"/>
        </w:rPr>
      </w:pPr>
    </w:p>
    <w:p w:rsidR="00323EEF" w:rsidRPr="00E55265" w:rsidRDefault="00323EEF" w:rsidP="00E55265">
      <w:pPr>
        <w:pStyle w:val="Sangradetextonormal"/>
        <w:contextualSpacing/>
        <w:jc w:val="both"/>
        <w:rPr>
          <w:rFonts w:ascii="Arial" w:hAnsi="Arial" w:cs="Arial"/>
          <w:sz w:val="24"/>
          <w:szCs w:val="24"/>
        </w:rPr>
      </w:pPr>
      <w:r w:rsidRPr="00E55265">
        <w:rPr>
          <w:rFonts w:ascii="Arial" w:hAnsi="Arial" w:cs="Arial"/>
          <w:sz w:val="24"/>
          <w:szCs w:val="24"/>
          <w:u w:val="none"/>
        </w:rPr>
        <w:t>Docente:</w:t>
      </w:r>
      <w:r w:rsidR="00477A31" w:rsidRPr="00E55265">
        <w:rPr>
          <w:rFonts w:ascii="Arial" w:hAnsi="Arial" w:cs="Arial"/>
          <w:sz w:val="24"/>
          <w:szCs w:val="24"/>
          <w:u w:val="none"/>
        </w:rPr>
        <w:t xml:space="preserve"> Gabriela Carranza Araya.</w:t>
      </w:r>
    </w:p>
    <w:p w:rsidR="00323EEF" w:rsidRPr="00E55265" w:rsidRDefault="00323EEF" w:rsidP="00E55265">
      <w:pPr>
        <w:contextualSpacing/>
        <w:rPr>
          <w:rFonts w:ascii="Arial" w:hAnsi="Arial" w:cs="Arial"/>
        </w:rPr>
      </w:pPr>
    </w:p>
    <w:p w:rsidR="00323EEF" w:rsidRPr="00E55265" w:rsidRDefault="00323EEF" w:rsidP="00E55265">
      <w:pPr>
        <w:contextualSpacing/>
        <w:rPr>
          <w:rFonts w:ascii="Arial" w:hAnsi="Arial" w:cs="Arial"/>
          <w:b/>
        </w:rPr>
      </w:pP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</w:p>
    <w:p w:rsidR="00323EEF" w:rsidRPr="00E55265" w:rsidRDefault="00323EEF" w:rsidP="00E55265">
      <w:pPr>
        <w:pStyle w:val="Ttulo3"/>
        <w:numPr>
          <w:ilvl w:val="2"/>
          <w:numId w:val="2"/>
        </w:numPr>
        <w:ind w:left="540" w:right="654" w:firstLine="0"/>
        <w:contextualSpacing/>
        <w:jc w:val="center"/>
      </w:pPr>
      <w:r w:rsidRPr="00E55265">
        <w:rPr>
          <w:b/>
        </w:rPr>
        <w:t>Misión de la Facultad de Derecho (</w:t>
      </w:r>
      <w:r w:rsidRPr="00E55265">
        <w:rPr>
          <w:rStyle w:val="Caracteresdenotaalpie"/>
          <w:b/>
        </w:rPr>
        <w:footnoteReference w:id="1"/>
      </w:r>
      <w:r w:rsidRPr="00E55265">
        <w:rPr>
          <w:b/>
        </w:rPr>
        <w:t>)</w:t>
      </w:r>
    </w:p>
    <w:p w:rsidR="00323EEF" w:rsidRPr="00E55265" w:rsidRDefault="00323EEF" w:rsidP="00E55265">
      <w:pPr>
        <w:contextualSpacing/>
        <w:rPr>
          <w:rFonts w:ascii="Arial" w:hAnsi="Arial" w:cs="Arial"/>
          <w:lang w:val="es-MX"/>
        </w:rPr>
      </w:pPr>
    </w:p>
    <w:p w:rsidR="00323EEF" w:rsidRPr="00E55265" w:rsidRDefault="00323EEF" w:rsidP="00E55265">
      <w:pPr>
        <w:tabs>
          <w:tab w:val="left" w:pos="8820"/>
        </w:tabs>
        <w:ind w:right="4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color w:val="000000"/>
          <w:lang w:eastAsia="es-CR"/>
        </w:rPr>
        <w:t xml:space="preserve">La Facultad de Derecho de la Universidad de Costa Rica tiene como misión ofrecer a los y las estudiantes una formación académica sólida, sustentada en la enseñanza del Derecho desde una perspectiva humanista y jurídica, comprometida con el desarrollo sostenible, el progreso social, económico y político del país. Esta formación permite no solo estimular un alto rendimiento académico en la docencia, investigación y acción social, sino un posicionamiento, que permite promover la competencia tanto a nivel nacional como internacional, en un mundo cada vez más exigente y globalizado. </w:t>
      </w:r>
    </w:p>
    <w:p w:rsidR="00073AAF" w:rsidRPr="00E55265" w:rsidRDefault="00073AAF" w:rsidP="00E55265">
      <w:pPr>
        <w:tabs>
          <w:tab w:val="left" w:pos="8820"/>
        </w:tabs>
        <w:ind w:left="567" w:right="654"/>
        <w:contextualSpacing/>
        <w:jc w:val="center"/>
        <w:rPr>
          <w:rFonts w:ascii="Arial" w:hAnsi="Arial" w:cs="Arial"/>
          <w:b/>
        </w:rPr>
      </w:pPr>
    </w:p>
    <w:p w:rsidR="00323EEF" w:rsidRPr="00E55265" w:rsidRDefault="00323EEF" w:rsidP="00E55265">
      <w:pPr>
        <w:tabs>
          <w:tab w:val="left" w:pos="8820"/>
        </w:tabs>
        <w:ind w:left="567" w:right="654"/>
        <w:contextualSpacing/>
        <w:jc w:val="center"/>
        <w:rPr>
          <w:rFonts w:ascii="Arial" w:hAnsi="Arial" w:cs="Arial"/>
          <w:color w:val="000000"/>
          <w:lang w:eastAsia="es-CR"/>
        </w:rPr>
      </w:pPr>
      <w:r w:rsidRPr="00E55265">
        <w:rPr>
          <w:rFonts w:ascii="Arial" w:hAnsi="Arial" w:cs="Arial"/>
          <w:b/>
        </w:rPr>
        <w:t>Visión de la Facultad de Derecho (</w:t>
      </w:r>
      <w:r w:rsidRPr="00E55265">
        <w:rPr>
          <w:rStyle w:val="Caracteresdenotaalpie"/>
          <w:rFonts w:ascii="Arial" w:hAnsi="Arial" w:cs="Arial"/>
          <w:b/>
        </w:rPr>
        <w:footnoteReference w:id="2"/>
      </w:r>
      <w:r w:rsidRPr="00E55265">
        <w:rPr>
          <w:rFonts w:ascii="Arial" w:hAnsi="Arial" w:cs="Arial"/>
          <w:b/>
        </w:rPr>
        <w:t>)</w:t>
      </w:r>
    </w:p>
    <w:p w:rsidR="00323EEF" w:rsidRPr="00E55265" w:rsidRDefault="00323EEF" w:rsidP="00E55265">
      <w:pPr>
        <w:tabs>
          <w:tab w:val="left" w:pos="360"/>
        </w:tabs>
        <w:ind w:right="48"/>
        <w:contextualSpacing/>
        <w:jc w:val="both"/>
        <w:rPr>
          <w:rFonts w:ascii="Arial" w:hAnsi="Arial" w:cs="Arial"/>
          <w:color w:val="000000"/>
          <w:lang w:eastAsia="es-CR"/>
        </w:rPr>
      </w:pPr>
    </w:p>
    <w:p w:rsidR="00323EEF" w:rsidRDefault="00323EEF" w:rsidP="00E55265">
      <w:pPr>
        <w:tabs>
          <w:tab w:val="left" w:pos="360"/>
        </w:tabs>
        <w:ind w:right="48"/>
        <w:contextualSpacing/>
        <w:jc w:val="both"/>
        <w:rPr>
          <w:rFonts w:ascii="Arial" w:hAnsi="Arial" w:cs="Arial"/>
          <w:color w:val="000000"/>
          <w:lang w:eastAsia="es-CR"/>
        </w:rPr>
      </w:pPr>
      <w:r w:rsidRPr="00E55265">
        <w:rPr>
          <w:rFonts w:ascii="Arial" w:hAnsi="Arial" w:cs="Arial"/>
          <w:color w:val="000000"/>
          <w:lang w:eastAsia="es-CR"/>
        </w:rPr>
        <w:t xml:space="preserve">La Facultad de Derecho asume el compromiso de un desarrollo educativo con proyección internacional y en la realidad de las Ciencias Sociales, para ofrecer a la sociedad una calificada preparación académica de sus graduandos, con el mejoramiento del proceso enseñanza –aprendizaje, se produce una óptima integración para lograr, con mayor eficiencia y eficacia, la aplicación de las ciencias jurídicas de corte humanista, cuyos conocimientos, habilidades y destrezas jurídicas sean aplicadas  en el ámbito </w:t>
      </w:r>
      <w:r w:rsidRPr="00E55265">
        <w:rPr>
          <w:rFonts w:ascii="Arial" w:hAnsi="Arial" w:cs="Arial"/>
          <w:color w:val="000000"/>
          <w:lang w:eastAsia="es-CR"/>
        </w:rPr>
        <w:lastRenderedPageBreak/>
        <w:t>económico, político y social;  como profesionales humanistas, críticos y con capacidad transformadora de la realidad coyuntural del país.</w:t>
      </w:r>
    </w:p>
    <w:p w:rsidR="00863A6B" w:rsidRDefault="00863A6B" w:rsidP="00E55265">
      <w:pPr>
        <w:tabs>
          <w:tab w:val="left" w:pos="360"/>
        </w:tabs>
        <w:ind w:right="48"/>
        <w:contextualSpacing/>
        <w:jc w:val="both"/>
        <w:rPr>
          <w:rFonts w:ascii="Arial" w:hAnsi="Arial" w:cs="Arial"/>
          <w:color w:val="000000"/>
          <w:lang w:eastAsia="es-CR"/>
        </w:rPr>
      </w:pPr>
    </w:p>
    <w:p w:rsidR="00863A6B" w:rsidRPr="00E55265" w:rsidRDefault="00863A6B" w:rsidP="00E55265">
      <w:pPr>
        <w:tabs>
          <w:tab w:val="left" w:pos="360"/>
        </w:tabs>
        <w:ind w:right="48"/>
        <w:contextualSpacing/>
        <w:jc w:val="both"/>
        <w:rPr>
          <w:rFonts w:ascii="Arial" w:hAnsi="Arial" w:cs="Arial"/>
          <w:color w:val="000000"/>
          <w:lang w:eastAsia="es-CR"/>
        </w:rPr>
      </w:pPr>
    </w:p>
    <w:p w:rsidR="00323EEF" w:rsidRPr="00E55265" w:rsidRDefault="00323EEF" w:rsidP="00E55265">
      <w:pPr>
        <w:tabs>
          <w:tab w:val="left" w:pos="360"/>
        </w:tabs>
        <w:ind w:right="48"/>
        <w:contextualSpacing/>
        <w:jc w:val="both"/>
        <w:rPr>
          <w:rFonts w:ascii="Arial" w:hAnsi="Arial" w:cs="Arial"/>
          <w:color w:val="000000"/>
          <w:lang w:eastAsia="es-CR"/>
        </w:rPr>
      </w:pPr>
    </w:p>
    <w:p w:rsidR="00323EEF" w:rsidRPr="00E55265" w:rsidRDefault="00323EEF" w:rsidP="00E55265">
      <w:pPr>
        <w:widowControl w:val="0"/>
        <w:contextualSpacing/>
        <w:jc w:val="center"/>
        <w:rPr>
          <w:rFonts w:ascii="Arial" w:hAnsi="Arial" w:cs="Arial"/>
          <w:u w:val="single"/>
        </w:rPr>
      </w:pPr>
      <w:r w:rsidRPr="00E55265">
        <w:rPr>
          <w:rFonts w:ascii="Arial" w:hAnsi="Arial" w:cs="Arial"/>
          <w:b/>
          <w:u w:val="single"/>
        </w:rPr>
        <w:t>DESCRIPCIÓN Y JUSTIFICACIÓN</w:t>
      </w:r>
    </w:p>
    <w:p w:rsidR="00EC51C2" w:rsidRPr="00E55265" w:rsidRDefault="00EC51C2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EC51C2" w:rsidRPr="00E55265" w:rsidRDefault="00477A31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En el curso de “Derecho de la Contratación Privada I” se han adquirido </w:t>
      </w:r>
      <w:r w:rsidR="00EC51C2" w:rsidRPr="00E55265">
        <w:rPr>
          <w:rFonts w:ascii="Arial" w:hAnsi="Arial" w:cs="Arial"/>
        </w:rPr>
        <w:t>los conocimientos fundamentales de la teoría general del contrato y sus elementos principales, de modo que al inicio del presente curso se terminan de desarrollar los aspectos correspondientes a su efica</w:t>
      </w:r>
      <w:r w:rsidR="005E432E" w:rsidRPr="00E55265">
        <w:rPr>
          <w:rFonts w:ascii="Arial" w:hAnsi="Arial" w:cs="Arial"/>
        </w:rPr>
        <w:t xml:space="preserve">cia y proceso de ejecución; </w:t>
      </w:r>
      <w:r w:rsidR="00EC51C2" w:rsidRPr="00E55265">
        <w:rPr>
          <w:rFonts w:ascii="Arial" w:hAnsi="Arial" w:cs="Arial"/>
        </w:rPr>
        <w:t xml:space="preserve">posteriormente </w:t>
      </w:r>
      <w:r w:rsidR="005E432E" w:rsidRPr="00E55265">
        <w:rPr>
          <w:rFonts w:ascii="Arial" w:hAnsi="Arial" w:cs="Arial"/>
        </w:rPr>
        <w:t xml:space="preserve">se </w:t>
      </w:r>
      <w:r w:rsidR="00EC51C2" w:rsidRPr="00E55265">
        <w:rPr>
          <w:rFonts w:ascii="Arial" w:hAnsi="Arial" w:cs="Arial"/>
        </w:rPr>
        <w:t>analizar</w:t>
      </w:r>
      <w:r w:rsidR="005E432E" w:rsidRPr="00E55265">
        <w:rPr>
          <w:rFonts w:ascii="Arial" w:hAnsi="Arial" w:cs="Arial"/>
        </w:rPr>
        <w:t>an</w:t>
      </w:r>
      <w:r w:rsidR="00EC51C2" w:rsidRPr="00E55265">
        <w:rPr>
          <w:rFonts w:ascii="Arial" w:hAnsi="Arial" w:cs="Arial"/>
        </w:rPr>
        <w:t xml:space="preserve"> </w:t>
      </w:r>
      <w:r w:rsidRPr="00E55265">
        <w:rPr>
          <w:rFonts w:ascii="Arial" w:hAnsi="Arial" w:cs="Arial"/>
        </w:rPr>
        <w:t>los principales contratos típicos del derecho privado</w:t>
      </w:r>
      <w:r w:rsidR="00EC51C2" w:rsidRPr="00E55265">
        <w:rPr>
          <w:rFonts w:ascii="Arial" w:hAnsi="Arial" w:cs="Arial"/>
        </w:rPr>
        <w:t>, lo cual se hará identificando a cada contrato y analizando su régimen ordinario</w:t>
      </w:r>
      <w:r w:rsidR="00B73E50" w:rsidRPr="00E55265">
        <w:rPr>
          <w:rFonts w:ascii="Arial" w:hAnsi="Arial" w:cs="Arial"/>
        </w:rPr>
        <w:t>. A</w:t>
      </w:r>
      <w:r w:rsidR="00EC51C2" w:rsidRPr="00E55265">
        <w:rPr>
          <w:rFonts w:ascii="Arial" w:hAnsi="Arial" w:cs="Arial"/>
        </w:rPr>
        <w:t xml:space="preserve"> partir de es</w:t>
      </w:r>
      <w:r w:rsidR="00B73E50" w:rsidRPr="00E55265">
        <w:rPr>
          <w:rFonts w:ascii="Arial" w:hAnsi="Arial" w:cs="Arial"/>
        </w:rPr>
        <w:t>ta información el estudiantado será capaz de construir su propio</w:t>
      </w:r>
      <w:r w:rsidR="00EC51C2" w:rsidRPr="00E55265">
        <w:rPr>
          <w:rFonts w:ascii="Arial" w:hAnsi="Arial" w:cs="Arial"/>
        </w:rPr>
        <w:t xml:space="preserve"> sistema de referencia y con esta base, </w:t>
      </w:r>
      <w:r w:rsidR="00B73E50" w:rsidRPr="00E55265">
        <w:rPr>
          <w:rFonts w:ascii="Arial" w:hAnsi="Arial" w:cs="Arial"/>
        </w:rPr>
        <w:t>abordar</w:t>
      </w:r>
      <w:r w:rsidR="00EC51C2" w:rsidRPr="00E55265">
        <w:rPr>
          <w:rFonts w:ascii="Arial" w:hAnsi="Arial" w:cs="Arial"/>
        </w:rPr>
        <w:t xml:space="preserve"> cualqu</w:t>
      </w:r>
      <w:r w:rsidR="00B73E50" w:rsidRPr="00E55265">
        <w:rPr>
          <w:rFonts w:ascii="Arial" w:hAnsi="Arial" w:cs="Arial"/>
        </w:rPr>
        <w:t>ier contrato de derecho privado.</w:t>
      </w:r>
    </w:p>
    <w:p w:rsidR="00EC51C2" w:rsidRPr="00E55265" w:rsidRDefault="00EC51C2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EC51C2" w:rsidRPr="00E55265" w:rsidRDefault="00EC51C2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A través del trabajo de investigación</w:t>
      </w:r>
      <w:r w:rsidR="001563A3" w:rsidRPr="00E55265">
        <w:rPr>
          <w:rFonts w:ascii="Arial" w:hAnsi="Arial" w:cs="Arial"/>
        </w:rPr>
        <w:t xml:space="preserve"> </w:t>
      </w:r>
      <w:r w:rsidRPr="00E55265">
        <w:rPr>
          <w:rFonts w:ascii="Arial" w:hAnsi="Arial" w:cs="Arial"/>
        </w:rPr>
        <w:t>asignado a grupos de tres estudiantes en promedio</w:t>
      </w:r>
      <w:r w:rsidR="00004EFB" w:rsidRPr="00E55265">
        <w:rPr>
          <w:rFonts w:ascii="Arial" w:hAnsi="Arial" w:cs="Arial"/>
        </w:rPr>
        <w:t>,</w:t>
      </w:r>
      <w:r w:rsidRPr="00E55265">
        <w:rPr>
          <w:rFonts w:ascii="Arial" w:hAnsi="Arial" w:cs="Arial"/>
        </w:rPr>
        <w:t xml:space="preserve"> se </w:t>
      </w:r>
      <w:r w:rsidR="00B73E50" w:rsidRPr="00E55265">
        <w:rPr>
          <w:rFonts w:ascii="Arial" w:hAnsi="Arial" w:cs="Arial"/>
        </w:rPr>
        <w:t xml:space="preserve">complementa la </w:t>
      </w:r>
      <w:r w:rsidRPr="00E55265">
        <w:rPr>
          <w:rFonts w:ascii="Arial" w:hAnsi="Arial" w:cs="Arial"/>
        </w:rPr>
        <w:t>incorpora</w:t>
      </w:r>
      <w:r w:rsidR="00B73E50" w:rsidRPr="00E55265">
        <w:rPr>
          <w:rFonts w:ascii="Arial" w:hAnsi="Arial" w:cs="Arial"/>
        </w:rPr>
        <w:t>ción</w:t>
      </w:r>
      <w:r w:rsidRPr="00E55265">
        <w:rPr>
          <w:rFonts w:ascii="Arial" w:hAnsi="Arial" w:cs="Arial"/>
        </w:rPr>
        <w:t xml:space="preserve"> práctica en el área de la investigación mediante el análisis puntual </w:t>
      </w:r>
      <w:r w:rsidR="00B73E50" w:rsidRPr="00E55265">
        <w:rPr>
          <w:rFonts w:ascii="Arial" w:hAnsi="Arial" w:cs="Arial"/>
        </w:rPr>
        <w:t>de una figura contractual</w:t>
      </w:r>
      <w:r w:rsidRPr="00E55265">
        <w:rPr>
          <w:rFonts w:ascii="Arial" w:hAnsi="Arial" w:cs="Arial"/>
        </w:rPr>
        <w:t>, a fin de obtener una visión panorámica de la realidad contractual del momento y de los principales retos que plantea su utilización.</w:t>
      </w:r>
      <w:r w:rsidR="00004EFB" w:rsidRPr="00E55265">
        <w:rPr>
          <w:rFonts w:ascii="Arial" w:hAnsi="Arial" w:cs="Arial"/>
        </w:rPr>
        <w:t xml:space="preserve"> El objetivo es que los estudiantes luego de dominar los principales elementos doctrinales, legales y jurisprudenciales, identifiquen un problema de índole práctico, planteen una hipótesis y lleven a cabo un trabajo de campo que les permita co</w:t>
      </w:r>
      <w:r w:rsidR="0081102D" w:rsidRPr="00E55265">
        <w:rPr>
          <w:rFonts w:ascii="Arial" w:hAnsi="Arial" w:cs="Arial"/>
        </w:rPr>
        <w:t>r</w:t>
      </w:r>
      <w:r w:rsidR="00004EFB" w:rsidRPr="00E55265">
        <w:rPr>
          <w:rFonts w:ascii="Arial" w:hAnsi="Arial" w:cs="Arial"/>
        </w:rPr>
        <w:t>roborar o</w:t>
      </w:r>
      <w:r w:rsidR="0081102D" w:rsidRPr="00E55265">
        <w:rPr>
          <w:rFonts w:ascii="Arial" w:hAnsi="Arial" w:cs="Arial"/>
        </w:rPr>
        <w:t xml:space="preserve"> descartar lo propuesto, así como formular sus principales conclusiones a partir de su experiencia.</w:t>
      </w:r>
    </w:p>
    <w:p w:rsidR="00EC51C2" w:rsidRPr="00E55265" w:rsidRDefault="00EC51C2" w:rsidP="00E55265">
      <w:pPr>
        <w:tabs>
          <w:tab w:val="left" w:pos="3435"/>
        </w:tabs>
        <w:contextualSpacing/>
        <w:jc w:val="both"/>
        <w:rPr>
          <w:rFonts w:ascii="Arial" w:hAnsi="Arial" w:cs="Arial"/>
        </w:rPr>
      </w:pPr>
    </w:p>
    <w:p w:rsidR="00EC51C2" w:rsidRPr="00E55265" w:rsidRDefault="00323EEF" w:rsidP="00E55265">
      <w:pPr>
        <w:widowControl w:val="0"/>
        <w:contextualSpacing/>
        <w:jc w:val="center"/>
        <w:rPr>
          <w:rFonts w:ascii="Arial" w:hAnsi="Arial" w:cs="Arial"/>
          <w:b/>
          <w:u w:val="single"/>
        </w:rPr>
      </w:pPr>
      <w:r w:rsidRPr="00E55265">
        <w:rPr>
          <w:rFonts w:ascii="Arial" w:hAnsi="Arial" w:cs="Arial"/>
          <w:b/>
          <w:u w:val="single"/>
        </w:rPr>
        <w:t>OBJETIVO</w:t>
      </w:r>
    </w:p>
    <w:p w:rsidR="00EC51C2" w:rsidRPr="00E55265" w:rsidRDefault="00EC51C2" w:rsidP="00E55265">
      <w:pPr>
        <w:widowControl w:val="0"/>
        <w:contextualSpacing/>
        <w:jc w:val="center"/>
        <w:rPr>
          <w:rFonts w:ascii="Arial" w:hAnsi="Arial" w:cs="Arial"/>
          <w:b/>
          <w:u w:val="single"/>
        </w:rPr>
      </w:pPr>
    </w:p>
    <w:p w:rsidR="00EC51C2" w:rsidRPr="00E55265" w:rsidRDefault="00740FAB" w:rsidP="00E55265">
      <w:pPr>
        <w:widowControl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Una vez finalizado el curso el estudiante podrá</w:t>
      </w:r>
      <w:r w:rsidR="00EC51C2" w:rsidRPr="00E55265">
        <w:rPr>
          <w:rFonts w:ascii="Arial" w:hAnsi="Arial" w:cs="Arial"/>
        </w:rPr>
        <w:t xml:space="preserve"> identificar, analizar y comprender los contratos privados de mayor relevancia, así como formar un sistema de comprensión de cualquier contrato de derecho privado, en lo concerniente a su formación y sus efectos.</w:t>
      </w:r>
    </w:p>
    <w:p w:rsidR="00323EEF" w:rsidRPr="00E55265" w:rsidRDefault="00323EEF" w:rsidP="00E55265">
      <w:pPr>
        <w:ind w:firstLine="708"/>
        <w:contextualSpacing/>
        <w:rPr>
          <w:rFonts w:ascii="Arial" w:hAnsi="Arial" w:cs="Arial"/>
          <w:b/>
        </w:rPr>
      </w:pPr>
    </w:p>
    <w:p w:rsidR="00323EEF" w:rsidRPr="00E55265" w:rsidRDefault="00323EEF" w:rsidP="00E55265">
      <w:pPr>
        <w:ind w:firstLine="708"/>
        <w:contextualSpacing/>
        <w:jc w:val="center"/>
        <w:rPr>
          <w:rFonts w:ascii="Arial" w:hAnsi="Arial" w:cs="Arial"/>
          <w:u w:val="single"/>
        </w:rPr>
      </w:pPr>
      <w:r w:rsidRPr="00E55265">
        <w:rPr>
          <w:rFonts w:ascii="Arial" w:hAnsi="Arial" w:cs="Arial"/>
          <w:b/>
          <w:u w:val="single"/>
        </w:rPr>
        <w:t>OBJETIVOS ESPECÍFICOS:</w:t>
      </w:r>
    </w:p>
    <w:p w:rsidR="00323EEF" w:rsidRPr="00E55265" w:rsidRDefault="00323EEF" w:rsidP="00E55265">
      <w:pPr>
        <w:ind w:firstLine="360"/>
        <w:contextualSpacing/>
        <w:jc w:val="center"/>
        <w:rPr>
          <w:rFonts w:ascii="Arial" w:hAnsi="Arial" w:cs="Arial"/>
          <w:u w:val="single"/>
        </w:rPr>
      </w:pPr>
    </w:p>
    <w:p w:rsidR="00323EEF" w:rsidRPr="00E55265" w:rsidRDefault="006D36C1" w:rsidP="00E55265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lang w:val="es-CR"/>
        </w:rPr>
        <w:t>Identificar y analizar el proceso de eficacia contractual, tanto con relación a las partes contractuales y sus derechos y obligaciones, como con respecto a terceros involucrados.</w:t>
      </w:r>
      <w:r w:rsidR="00323EEF" w:rsidRPr="00E55265">
        <w:rPr>
          <w:rFonts w:ascii="Arial" w:hAnsi="Arial" w:cs="Arial"/>
        </w:rPr>
        <w:t xml:space="preserve"> </w:t>
      </w:r>
    </w:p>
    <w:p w:rsidR="00323EEF" w:rsidRPr="00E55265" w:rsidRDefault="00B73E50" w:rsidP="00E55265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lastRenderedPageBreak/>
        <w:t>Construir</w:t>
      </w:r>
      <w:r w:rsidR="006D36C1" w:rsidRPr="00E55265">
        <w:rPr>
          <w:rFonts w:ascii="Arial" w:hAnsi="Arial" w:cs="Arial"/>
        </w:rPr>
        <w:t xml:space="preserve"> un marco teórico, legal y jurisprudencial sobre los contratos típicos (compra venta, donación, permuta, cesión, arrendamiento, inquilinato, préstamo, mandato, fianza, préstamo</w:t>
      </w:r>
      <w:r w:rsidR="00057446" w:rsidRPr="00E55265">
        <w:rPr>
          <w:rFonts w:ascii="Arial" w:hAnsi="Arial" w:cs="Arial"/>
        </w:rPr>
        <w:t xml:space="preserve">, seguro, </w:t>
      </w:r>
      <w:proofErr w:type="gramStart"/>
      <w:r w:rsidR="00057446" w:rsidRPr="00E55265">
        <w:rPr>
          <w:rFonts w:ascii="Arial" w:hAnsi="Arial" w:cs="Arial"/>
        </w:rPr>
        <w:t xml:space="preserve">transporte </w:t>
      </w:r>
      <w:r w:rsidR="006D36C1" w:rsidRPr="00E55265">
        <w:rPr>
          <w:rFonts w:ascii="Arial" w:hAnsi="Arial" w:cs="Arial"/>
        </w:rPr>
        <w:t xml:space="preserve"> y</w:t>
      </w:r>
      <w:proofErr w:type="gramEnd"/>
      <w:r w:rsidR="006D36C1" w:rsidRPr="00E55265">
        <w:rPr>
          <w:rFonts w:ascii="Arial" w:hAnsi="Arial" w:cs="Arial"/>
        </w:rPr>
        <w:t xml:space="preserve"> cuota litis).</w:t>
      </w:r>
      <w:r w:rsidR="00057446" w:rsidRPr="00E55265">
        <w:rPr>
          <w:rFonts w:ascii="Arial" w:hAnsi="Arial" w:cs="Arial"/>
        </w:rPr>
        <w:t xml:space="preserve"> </w:t>
      </w:r>
    </w:p>
    <w:p w:rsidR="006D36C1" w:rsidRPr="00E55265" w:rsidRDefault="00740FAB" w:rsidP="00E55265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Aplicar</w:t>
      </w:r>
      <w:r w:rsidR="006D36C1" w:rsidRPr="00E55265">
        <w:rPr>
          <w:rFonts w:ascii="Arial" w:hAnsi="Arial" w:cs="Arial"/>
        </w:rPr>
        <w:t xml:space="preserve"> un marco teórico básico para </w:t>
      </w:r>
      <w:r w:rsidR="00B73E50" w:rsidRPr="00E55265">
        <w:rPr>
          <w:rFonts w:ascii="Arial" w:hAnsi="Arial" w:cs="Arial"/>
        </w:rPr>
        <w:t>abordar la aplicación práctica de distintas</w:t>
      </w:r>
      <w:r w:rsidR="006D36C1" w:rsidRPr="00E55265">
        <w:rPr>
          <w:rFonts w:ascii="Arial" w:hAnsi="Arial" w:cs="Arial"/>
        </w:rPr>
        <w:t xml:space="preserve"> figuras contractuales y determinar a partir de</w:t>
      </w:r>
      <w:r w:rsidR="007557C0" w:rsidRPr="00E55265">
        <w:rPr>
          <w:rFonts w:ascii="Arial" w:hAnsi="Arial" w:cs="Arial"/>
        </w:rPr>
        <w:t xml:space="preserve"> éste en e</w:t>
      </w:r>
      <w:r w:rsidR="006D36C1" w:rsidRPr="00E55265">
        <w:rPr>
          <w:rFonts w:ascii="Arial" w:hAnsi="Arial" w:cs="Arial"/>
        </w:rPr>
        <w:t xml:space="preserve">l trabajo de investigación problemas propios de la utilización de figuras contractuales </w:t>
      </w:r>
      <w:r w:rsidRPr="00E55265">
        <w:rPr>
          <w:rFonts w:ascii="Arial" w:hAnsi="Arial" w:cs="Arial"/>
        </w:rPr>
        <w:t>actuales</w:t>
      </w:r>
      <w:r w:rsidR="007557C0" w:rsidRPr="00E55265">
        <w:rPr>
          <w:rFonts w:ascii="Arial" w:hAnsi="Arial" w:cs="Arial"/>
        </w:rPr>
        <w:t xml:space="preserve"> y plantear al respecto observaciones, recomendaciones y conclusiones generales.</w:t>
      </w:r>
    </w:p>
    <w:p w:rsidR="00323EEF" w:rsidRPr="00E55265" w:rsidRDefault="00323EEF" w:rsidP="00E55265">
      <w:pPr>
        <w:widowControl w:val="0"/>
        <w:contextualSpacing/>
        <w:jc w:val="both"/>
        <w:rPr>
          <w:rFonts w:ascii="Arial" w:hAnsi="Arial" w:cs="Arial"/>
        </w:rPr>
      </w:pPr>
    </w:p>
    <w:p w:rsidR="00323EEF" w:rsidRPr="00E55265" w:rsidRDefault="00323EEF" w:rsidP="00E55265">
      <w:pPr>
        <w:widowControl w:val="0"/>
        <w:contextualSpacing/>
        <w:jc w:val="center"/>
        <w:rPr>
          <w:rFonts w:ascii="Arial" w:hAnsi="Arial" w:cs="Arial"/>
        </w:rPr>
      </w:pPr>
      <w:r w:rsidRPr="00E55265">
        <w:rPr>
          <w:rFonts w:ascii="Arial" w:hAnsi="Arial" w:cs="Arial"/>
          <w:b/>
          <w:u w:val="single"/>
        </w:rPr>
        <w:t>CONTENIDOS</w:t>
      </w:r>
    </w:p>
    <w:p w:rsidR="00323EEF" w:rsidRPr="00E55265" w:rsidRDefault="00323EEF" w:rsidP="00E55265">
      <w:pPr>
        <w:widowControl w:val="0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  <w:u w:val="single"/>
        </w:rPr>
      </w:pPr>
    </w:p>
    <w:p w:rsidR="00AA2EA2" w:rsidRPr="00E55265" w:rsidRDefault="0081102D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>A</w:t>
      </w:r>
      <w:proofErr w:type="gramStart"/>
      <w:r w:rsidR="007557C0" w:rsidRPr="00E55265">
        <w:rPr>
          <w:rFonts w:ascii="Arial" w:hAnsi="Arial" w:cs="Arial"/>
          <w:b/>
        </w:rPr>
        <w:t>).</w:t>
      </w:r>
      <w:r w:rsidR="00AA2EA2" w:rsidRPr="00E55265">
        <w:rPr>
          <w:rFonts w:ascii="Arial" w:hAnsi="Arial" w:cs="Arial"/>
          <w:b/>
        </w:rPr>
        <w:t>-</w:t>
      </w:r>
      <w:proofErr w:type="gramEnd"/>
      <w:r w:rsidR="00AA2EA2" w:rsidRPr="00E55265">
        <w:rPr>
          <w:rFonts w:ascii="Arial" w:hAnsi="Arial" w:cs="Arial"/>
          <w:b/>
        </w:rPr>
        <w:t xml:space="preserve"> Los vicios del consentimiento </w:t>
      </w:r>
    </w:p>
    <w:p w:rsidR="00AA2EA2" w:rsidRPr="00E55265" w:rsidRDefault="00AA2EA2" w:rsidP="00E55265">
      <w:pPr>
        <w:contextualSpacing/>
        <w:jc w:val="both"/>
        <w:rPr>
          <w:rFonts w:ascii="Arial" w:hAnsi="Arial" w:cs="Arial"/>
        </w:rPr>
      </w:pPr>
    </w:p>
    <w:p w:rsidR="00AA2EA2" w:rsidRPr="00E55265" w:rsidRDefault="00AA2EA2" w:rsidP="00E55265">
      <w:pPr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El dolo.</w:t>
      </w:r>
    </w:p>
    <w:p w:rsidR="00AA2EA2" w:rsidRPr="00E55265" w:rsidRDefault="00AA2EA2" w:rsidP="00E55265">
      <w:pPr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55265">
        <w:rPr>
          <w:rFonts w:ascii="Arial" w:hAnsi="Arial" w:cs="Arial"/>
        </w:rPr>
        <w:t>El error.</w:t>
      </w:r>
    </w:p>
    <w:p w:rsidR="00AA2EA2" w:rsidRPr="00E55265" w:rsidRDefault="00AA2EA2" w:rsidP="00E55265">
      <w:pPr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bCs/>
        </w:rPr>
      </w:pPr>
      <w:r w:rsidRPr="00E55265">
        <w:rPr>
          <w:rFonts w:ascii="Arial" w:hAnsi="Arial" w:cs="Arial"/>
        </w:rPr>
        <w:t>La violencia y la intimidación</w:t>
      </w:r>
    </w:p>
    <w:p w:rsidR="00AA2EA2" w:rsidRPr="00E55265" w:rsidRDefault="00AA2EA2" w:rsidP="00E55265">
      <w:pPr>
        <w:suppressAutoHyphens w:val="0"/>
        <w:ind w:left="1770"/>
        <w:contextualSpacing/>
        <w:jc w:val="both"/>
        <w:rPr>
          <w:rFonts w:ascii="Arial" w:hAnsi="Arial" w:cs="Arial"/>
          <w:bCs/>
        </w:rPr>
      </w:pPr>
    </w:p>
    <w:p w:rsidR="00AA2EA2" w:rsidRPr="00E55265" w:rsidRDefault="00AA2EA2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  <w:bCs/>
        </w:rPr>
        <w:t xml:space="preserve">B). - </w:t>
      </w:r>
      <w:r w:rsidRPr="00E55265">
        <w:rPr>
          <w:rFonts w:ascii="Arial" w:hAnsi="Arial" w:cs="Arial"/>
          <w:b/>
        </w:rPr>
        <w:t xml:space="preserve">Figuras doctrinales y legales que inciden en la eficacia contractual </w:t>
      </w:r>
    </w:p>
    <w:p w:rsidR="00AA2EA2" w:rsidRPr="00E55265" w:rsidRDefault="00AA2EA2" w:rsidP="00E55265">
      <w:pPr>
        <w:contextualSpacing/>
        <w:jc w:val="both"/>
        <w:rPr>
          <w:rFonts w:ascii="Arial" w:hAnsi="Arial" w:cs="Arial"/>
        </w:rPr>
      </w:pP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Nulidad, anulabilidad e invalidez.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Inexistencia.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Lesión.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Ineficacia.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proofErr w:type="spellStart"/>
      <w:r w:rsidRPr="00E55265">
        <w:rPr>
          <w:rFonts w:ascii="Arial" w:hAnsi="Arial" w:cs="Arial"/>
        </w:rPr>
        <w:t>Inoponibilidad</w:t>
      </w:r>
      <w:proofErr w:type="spellEnd"/>
      <w:r w:rsidRPr="00E55265">
        <w:rPr>
          <w:rFonts w:ascii="Arial" w:hAnsi="Arial" w:cs="Arial"/>
        </w:rPr>
        <w:t>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Resolución.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proofErr w:type="spellStart"/>
      <w:r w:rsidRPr="00E55265">
        <w:rPr>
          <w:rFonts w:ascii="Arial" w:hAnsi="Arial" w:cs="Arial"/>
        </w:rPr>
        <w:t>Resiliación</w:t>
      </w:r>
      <w:proofErr w:type="spellEnd"/>
      <w:r w:rsidRPr="00E55265">
        <w:rPr>
          <w:rFonts w:ascii="Arial" w:hAnsi="Arial" w:cs="Arial"/>
        </w:rPr>
        <w:t>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Rescisión.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Revocación.</w:t>
      </w:r>
    </w:p>
    <w:p w:rsidR="00AA2EA2" w:rsidRPr="00E55265" w:rsidRDefault="00AA2EA2" w:rsidP="00E55265">
      <w:pPr>
        <w:numPr>
          <w:ilvl w:val="0"/>
          <w:numId w:val="8"/>
        </w:numPr>
        <w:suppressAutoHyphens w:val="0"/>
        <w:contextualSpacing/>
        <w:jc w:val="both"/>
        <w:rPr>
          <w:rFonts w:ascii="Arial" w:hAnsi="Arial" w:cs="Arial"/>
          <w:u w:val="single"/>
        </w:rPr>
      </w:pPr>
      <w:r w:rsidRPr="00E55265">
        <w:rPr>
          <w:rFonts w:ascii="Arial" w:hAnsi="Arial" w:cs="Arial"/>
        </w:rPr>
        <w:t>Falsedad.</w:t>
      </w:r>
    </w:p>
    <w:p w:rsidR="00AA2EA2" w:rsidRPr="00E55265" w:rsidRDefault="00AA2EA2" w:rsidP="00E55265">
      <w:pPr>
        <w:contextualSpacing/>
        <w:jc w:val="both"/>
        <w:rPr>
          <w:rFonts w:ascii="Arial" w:hAnsi="Arial" w:cs="Arial"/>
          <w:b/>
        </w:rPr>
      </w:pPr>
    </w:p>
    <w:p w:rsidR="007557C0" w:rsidRPr="00E55265" w:rsidRDefault="00AA2EA2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>C).</w:t>
      </w:r>
      <w:r w:rsidR="007557C0" w:rsidRPr="00E55265">
        <w:rPr>
          <w:rFonts w:ascii="Arial" w:hAnsi="Arial" w:cs="Arial"/>
          <w:b/>
        </w:rPr>
        <w:t xml:space="preserve"> - </w:t>
      </w:r>
      <w:r w:rsidR="007557C0" w:rsidRPr="00E55265">
        <w:rPr>
          <w:rFonts w:ascii="Arial" w:hAnsi="Arial" w:cs="Arial"/>
          <w:b/>
          <w:bCs/>
        </w:rPr>
        <w:t xml:space="preserve">Fuerza Obligatoria del Contrato entre las Partes. Efectos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 xml:space="preserve">                   </w:t>
      </w:r>
    </w:p>
    <w:p w:rsidR="007557C0" w:rsidRPr="00E55265" w:rsidRDefault="007557C0" w:rsidP="00E55265">
      <w:pPr>
        <w:numPr>
          <w:ilvl w:val="0"/>
          <w:numId w:val="10"/>
        </w:numPr>
        <w:suppressAutoHyphens w:val="0"/>
        <w:ind w:left="432"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La obligación de ejecución.</w:t>
      </w:r>
    </w:p>
    <w:p w:rsidR="007557C0" w:rsidRPr="00E55265" w:rsidRDefault="007557C0" w:rsidP="00E55265">
      <w:pPr>
        <w:numPr>
          <w:ilvl w:val="0"/>
          <w:numId w:val="10"/>
        </w:numPr>
        <w:suppressAutoHyphens w:val="0"/>
        <w:ind w:left="432"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La irrevocabilidad del contrato. </w:t>
      </w:r>
    </w:p>
    <w:p w:rsidR="007557C0" w:rsidRPr="00E55265" w:rsidRDefault="007557C0" w:rsidP="00E55265">
      <w:pPr>
        <w:ind w:left="114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3) La ejecución de buena fe, la obligación de lealtad, el deber de cooperación.</w:t>
      </w:r>
    </w:p>
    <w:p w:rsidR="007557C0" w:rsidRPr="00E55265" w:rsidRDefault="007557C0" w:rsidP="00E55265">
      <w:pPr>
        <w:ind w:left="36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ab/>
        <w:t xml:space="preserve">       4) La garantía del goce pacífico del derecho.</w:t>
      </w:r>
    </w:p>
    <w:p w:rsidR="007557C0" w:rsidRPr="00E55265" w:rsidRDefault="007557C0" w:rsidP="00E55265">
      <w:pPr>
        <w:ind w:left="114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5) La garantía del goce pacifico de hecho. La renuncia y la limitación de la garantía. </w:t>
      </w:r>
    </w:p>
    <w:p w:rsidR="007557C0" w:rsidRPr="00E55265" w:rsidRDefault="007557C0" w:rsidP="00E55265">
      <w:pPr>
        <w:ind w:left="114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lastRenderedPageBreak/>
        <w:t>6) La garantía de evicción.</w:t>
      </w:r>
    </w:p>
    <w:p w:rsidR="007557C0" w:rsidRPr="00E55265" w:rsidRDefault="007557C0" w:rsidP="00E55265">
      <w:pPr>
        <w:ind w:left="114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7) La garantía por vicios ocultos.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</w:p>
    <w:p w:rsidR="007557C0" w:rsidRPr="00E55265" w:rsidRDefault="00AA2EA2" w:rsidP="00E55265">
      <w:pPr>
        <w:contextualSpacing/>
        <w:jc w:val="both"/>
        <w:rPr>
          <w:rFonts w:ascii="Arial" w:hAnsi="Arial" w:cs="Arial"/>
          <w:b/>
          <w:bCs/>
        </w:rPr>
      </w:pPr>
      <w:r w:rsidRPr="00E55265">
        <w:rPr>
          <w:rFonts w:ascii="Arial" w:hAnsi="Arial" w:cs="Arial"/>
          <w:b/>
        </w:rPr>
        <w:t>D</w:t>
      </w:r>
      <w:r w:rsidR="007557C0" w:rsidRPr="00E55265">
        <w:rPr>
          <w:rFonts w:ascii="Arial" w:hAnsi="Arial" w:cs="Arial"/>
          <w:b/>
        </w:rPr>
        <w:t>). -</w:t>
      </w:r>
      <w:r w:rsidR="007557C0" w:rsidRPr="00E55265">
        <w:rPr>
          <w:rFonts w:ascii="Arial" w:hAnsi="Arial" w:cs="Arial"/>
        </w:rPr>
        <w:t xml:space="preserve"> </w:t>
      </w:r>
      <w:r w:rsidR="007557C0" w:rsidRPr="00E55265">
        <w:rPr>
          <w:rFonts w:ascii="Arial" w:hAnsi="Arial" w:cs="Arial"/>
          <w:b/>
        </w:rPr>
        <w:t>Terceros involucrados</w:t>
      </w:r>
      <w:r w:rsidR="007557C0" w:rsidRPr="00E55265">
        <w:rPr>
          <w:rFonts w:ascii="Arial" w:hAnsi="Arial" w:cs="Arial"/>
        </w:rPr>
        <w:t xml:space="preserve">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  <w:bCs/>
        </w:rPr>
        <w:t xml:space="preserve">1) Terceros Involucrados forzosamente en el contrato. Efectos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 xml:space="preserve">                  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 xml:space="preserve">                   </w:t>
      </w:r>
      <w:r w:rsidRPr="00E55265">
        <w:rPr>
          <w:rFonts w:ascii="Arial" w:hAnsi="Arial" w:cs="Arial"/>
        </w:rPr>
        <w:t>1) Causahabientes a título universal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  2) Causahabientes a título particular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  3) Acreedores quirografarios</w:t>
      </w:r>
    </w:p>
    <w:p w:rsidR="007557C0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  4) “</w:t>
      </w:r>
      <w:proofErr w:type="spellStart"/>
      <w:r w:rsidRPr="00E55265">
        <w:rPr>
          <w:rFonts w:ascii="Arial" w:hAnsi="Arial" w:cs="Arial"/>
        </w:rPr>
        <w:t>Penitus</w:t>
      </w:r>
      <w:proofErr w:type="spellEnd"/>
      <w:r w:rsidRPr="00E55265">
        <w:rPr>
          <w:rFonts w:ascii="Arial" w:hAnsi="Arial" w:cs="Arial"/>
        </w:rPr>
        <w:t xml:space="preserve"> </w:t>
      </w:r>
      <w:proofErr w:type="spellStart"/>
      <w:r w:rsidRPr="00E55265">
        <w:rPr>
          <w:rFonts w:ascii="Arial" w:hAnsi="Arial" w:cs="Arial"/>
        </w:rPr>
        <w:t>extranei</w:t>
      </w:r>
      <w:proofErr w:type="spellEnd"/>
      <w:r w:rsidRPr="00E55265">
        <w:rPr>
          <w:rFonts w:ascii="Arial" w:hAnsi="Arial" w:cs="Arial"/>
        </w:rPr>
        <w:t xml:space="preserve">”. La oponibilidad </w:t>
      </w:r>
    </w:p>
    <w:p w:rsidR="00863A6B" w:rsidRDefault="00863A6B" w:rsidP="00E55265">
      <w:pPr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  <w:bCs/>
        </w:rPr>
        <w:t xml:space="preserve">2) Terceros Involucrados voluntariamente en el contrato. Efectos </w:t>
      </w:r>
    </w:p>
    <w:p w:rsidR="007557C0" w:rsidRPr="00E55265" w:rsidRDefault="007557C0" w:rsidP="00E55265">
      <w:pPr>
        <w:ind w:left="36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</w:t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  <w:t xml:space="preserve">      </w:t>
      </w:r>
    </w:p>
    <w:p w:rsidR="007557C0" w:rsidRPr="00E55265" w:rsidRDefault="007557C0" w:rsidP="00E55265">
      <w:pPr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La promesa de hecho de un tercero</w:t>
      </w:r>
    </w:p>
    <w:p w:rsidR="007557C0" w:rsidRPr="00E55265" w:rsidRDefault="007557C0" w:rsidP="00E55265">
      <w:pPr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La estipulación a favor de un tercero</w:t>
      </w:r>
    </w:p>
    <w:p w:rsidR="007557C0" w:rsidRPr="00E55265" w:rsidRDefault="007557C0" w:rsidP="00E55265">
      <w:pPr>
        <w:ind w:left="1305"/>
        <w:contextualSpacing/>
        <w:jc w:val="both"/>
        <w:rPr>
          <w:rFonts w:ascii="Arial" w:hAnsi="Arial" w:cs="Arial"/>
        </w:rPr>
      </w:pPr>
    </w:p>
    <w:p w:rsidR="007557C0" w:rsidRPr="00E55265" w:rsidRDefault="00AA2EA2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>E</w:t>
      </w:r>
      <w:r w:rsidR="007557C0" w:rsidRPr="00E55265">
        <w:rPr>
          <w:rFonts w:ascii="Arial" w:hAnsi="Arial" w:cs="Arial"/>
          <w:b/>
        </w:rPr>
        <w:t>). -  Incumplimiento contractual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  <w:bCs/>
        </w:rPr>
        <w:t>1-  Incumplimiento del Contrato</w:t>
      </w:r>
      <w:r w:rsidRPr="00E55265">
        <w:rPr>
          <w:rFonts w:ascii="Arial" w:hAnsi="Arial" w:cs="Arial"/>
          <w:b/>
        </w:rPr>
        <w:t xml:space="preserve">               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 xml:space="preserve">                 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 xml:space="preserve">                   </w:t>
      </w:r>
      <w:r w:rsidRPr="00E55265">
        <w:rPr>
          <w:rFonts w:ascii="Arial" w:hAnsi="Arial" w:cs="Arial"/>
        </w:rPr>
        <w:t>a) Ejecución forzosa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  b) La responsabilidad Civil contractual (daños y perjuicios)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  c) Causas de exoneración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ab/>
      </w: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 xml:space="preserve">2- </w:t>
      </w:r>
      <w:r w:rsidRPr="00E55265">
        <w:rPr>
          <w:rFonts w:ascii="Arial" w:hAnsi="Arial" w:cs="Arial"/>
          <w:b/>
          <w:bCs/>
        </w:rPr>
        <w:t xml:space="preserve"> Incumplimiento en Contratos bilaterales</w:t>
      </w:r>
    </w:p>
    <w:p w:rsidR="007557C0" w:rsidRPr="00E55265" w:rsidRDefault="007557C0" w:rsidP="00E55265">
      <w:pPr>
        <w:ind w:left="36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</w:t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</w:rPr>
        <w:tab/>
        <w:t xml:space="preserve">      </w:t>
      </w:r>
    </w:p>
    <w:p w:rsidR="007557C0" w:rsidRPr="00E55265" w:rsidRDefault="007557C0" w:rsidP="00E55265">
      <w:pPr>
        <w:numPr>
          <w:ilvl w:val="0"/>
          <w:numId w:val="7"/>
        </w:numPr>
        <w:tabs>
          <w:tab w:val="clear" w:pos="1776"/>
          <w:tab w:val="num" w:pos="1500"/>
        </w:tabs>
        <w:suppressAutoHyphens w:val="0"/>
        <w:ind w:left="150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La resolución</w:t>
      </w:r>
    </w:p>
    <w:p w:rsidR="007557C0" w:rsidRPr="00E55265" w:rsidRDefault="007557C0" w:rsidP="00E55265">
      <w:pPr>
        <w:numPr>
          <w:ilvl w:val="0"/>
          <w:numId w:val="7"/>
        </w:numPr>
        <w:tabs>
          <w:tab w:val="clear" w:pos="1776"/>
          <w:tab w:val="num" w:pos="1500"/>
        </w:tabs>
        <w:suppressAutoHyphens w:val="0"/>
        <w:ind w:left="150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La suspensión</w:t>
      </w:r>
    </w:p>
    <w:p w:rsidR="007557C0" w:rsidRPr="00E55265" w:rsidRDefault="007557C0" w:rsidP="00E55265">
      <w:pPr>
        <w:numPr>
          <w:ilvl w:val="0"/>
          <w:numId w:val="7"/>
        </w:numPr>
        <w:tabs>
          <w:tab w:val="clear" w:pos="1776"/>
          <w:tab w:val="num" w:pos="1500"/>
        </w:tabs>
        <w:suppressAutoHyphens w:val="0"/>
        <w:ind w:left="150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La ejecución forzosa. (excepción de contrato no cumplido)</w:t>
      </w:r>
    </w:p>
    <w:p w:rsidR="00AA2EA2" w:rsidRPr="00E55265" w:rsidRDefault="00AA2EA2" w:rsidP="00E55265">
      <w:pPr>
        <w:contextualSpacing/>
        <w:jc w:val="both"/>
        <w:rPr>
          <w:rFonts w:ascii="Arial" w:hAnsi="Arial" w:cs="Arial"/>
          <w:b/>
        </w:rPr>
      </w:pPr>
    </w:p>
    <w:p w:rsidR="007557C0" w:rsidRPr="00E55265" w:rsidRDefault="00AA2EA2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>F</w:t>
      </w:r>
      <w:r w:rsidR="007557C0" w:rsidRPr="00E55265">
        <w:rPr>
          <w:rFonts w:ascii="Arial" w:hAnsi="Arial" w:cs="Arial"/>
          <w:b/>
        </w:rPr>
        <w:t>). – Interpretación y revisión de los Contratos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  <w:bCs/>
        </w:rPr>
        <w:t xml:space="preserve">1-  Interpretación Judicial de los Contratos </w:t>
      </w: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 xml:space="preserve">  </w:t>
      </w:r>
      <w:r w:rsidRPr="00E55265">
        <w:rPr>
          <w:rFonts w:ascii="Arial" w:hAnsi="Arial" w:cs="Arial"/>
        </w:rPr>
        <w:t>a) Teorías</w:t>
      </w:r>
    </w:p>
    <w:p w:rsidR="007557C0" w:rsidRDefault="007557C0" w:rsidP="00F16BBE">
      <w:pPr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b) Métodos</w:t>
      </w:r>
    </w:p>
    <w:p w:rsidR="00F16BBE" w:rsidRPr="00E55265" w:rsidRDefault="00F16BBE" w:rsidP="00F16BBE">
      <w:pPr>
        <w:ind w:firstLine="708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  <w:bCs/>
        </w:rPr>
      </w:pPr>
      <w:r w:rsidRPr="00E55265">
        <w:rPr>
          <w:rFonts w:ascii="Arial" w:hAnsi="Arial" w:cs="Arial"/>
          <w:b/>
        </w:rPr>
        <w:t xml:space="preserve">2- </w:t>
      </w:r>
      <w:r w:rsidRPr="00E55265">
        <w:rPr>
          <w:rFonts w:ascii="Arial" w:hAnsi="Arial" w:cs="Arial"/>
          <w:b/>
          <w:bCs/>
        </w:rPr>
        <w:t xml:space="preserve"> Revisión de los Contratos </w:t>
      </w: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lastRenderedPageBreak/>
        <w:t>a) La teoría de la imprevisión</w:t>
      </w: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b) Las cláusulas de revisión. Indexación. </w:t>
      </w:r>
    </w:p>
    <w:p w:rsidR="0081102D" w:rsidRPr="00E55265" w:rsidRDefault="0081102D" w:rsidP="00E55265">
      <w:pPr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c) Planteamiento y utilización de criterios y fórmulas del derecho público </w:t>
      </w:r>
      <w:r w:rsidRPr="00E55265">
        <w:rPr>
          <w:rFonts w:ascii="Arial" w:hAnsi="Arial" w:cs="Arial"/>
        </w:rPr>
        <w:tab/>
        <w:t>de contratación.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AA2EA2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  <w:r w:rsidRPr="00E55265">
        <w:rPr>
          <w:rFonts w:ascii="Arial" w:hAnsi="Arial" w:cs="Arial"/>
          <w:b/>
          <w:bCs/>
        </w:rPr>
        <w:t>G</w:t>
      </w:r>
      <w:r w:rsidR="007557C0" w:rsidRPr="00E55265">
        <w:rPr>
          <w:rFonts w:ascii="Arial" w:hAnsi="Arial" w:cs="Arial"/>
          <w:b/>
          <w:bCs/>
        </w:rPr>
        <w:t xml:space="preserve">). - Contratos traslativos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  <w:b/>
          <w:bCs/>
          <w:u w:val="single"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>1- La compraventa</w:t>
      </w:r>
      <w:r w:rsidRPr="00E55265">
        <w:rPr>
          <w:rFonts w:ascii="Arial" w:hAnsi="Arial" w:cs="Arial"/>
        </w:rPr>
        <w:t xml:space="preserve">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</w:t>
      </w:r>
    </w:p>
    <w:p w:rsidR="007557C0" w:rsidRPr="00E55265" w:rsidRDefault="007557C0" w:rsidP="00E55265">
      <w:pPr>
        <w:numPr>
          <w:ilvl w:val="0"/>
          <w:numId w:val="6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Compraventa Civil y Mercantil: Sujetos, objeto, la cosa y el precio.</w:t>
      </w:r>
    </w:p>
    <w:p w:rsidR="007557C0" w:rsidRPr="00E55265" w:rsidRDefault="007557C0" w:rsidP="00E55265">
      <w:pPr>
        <w:numPr>
          <w:ilvl w:val="0"/>
          <w:numId w:val="6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Obligaciones del vendedor.</w:t>
      </w:r>
    </w:p>
    <w:p w:rsidR="007557C0" w:rsidRPr="00E55265" w:rsidRDefault="007557C0" w:rsidP="00E55265">
      <w:pPr>
        <w:numPr>
          <w:ilvl w:val="0"/>
          <w:numId w:val="6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Obligaciones del comprador.</w:t>
      </w:r>
    </w:p>
    <w:p w:rsidR="0081102D" w:rsidRPr="00E55265" w:rsidRDefault="0081102D" w:rsidP="00E55265">
      <w:pPr>
        <w:numPr>
          <w:ilvl w:val="0"/>
          <w:numId w:val="6"/>
        </w:numPr>
        <w:suppressAutoHyphens w:val="0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Figuras.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ind w:firstLine="708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 xml:space="preserve">2- La donación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 xml:space="preserve">                 </w:t>
      </w:r>
      <w:r w:rsidRPr="00E55265">
        <w:rPr>
          <w:rFonts w:ascii="Arial" w:hAnsi="Arial" w:cs="Arial"/>
        </w:rPr>
        <w:t>a)</w:t>
      </w:r>
      <w:r w:rsidRPr="00E55265">
        <w:rPr>
          <w:rFonts w:ascii="Arial" w:hAnsi="Arial" w:cs="Arial"/>
          <w:b/>
        </w:rPr>
        <w:t xml:space="preserve"> </w:t>
      </w:r>
      <w:r w:rsidRPr="00E55265">
        <w:rPr>
          <w:rFonts w:ascii="Arial" w:hAnsi="Arial" w:cs="Arial"/>
        </w:rPr>
        <w:t xml:space="preserve">Características Generales. 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b) Sujetos, objeto, la cosa y estimación.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                 c) Diferencias con otras figuras.</w:t>
      </w:r>
    </w:p>
    <w:p w:rsidR="007557C0" w:rsidRPr="00E55265" w:rsidRDefault="007557C0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ab/>
      </w:r>
      <w:r w:rsidRPr="00E55265">
        <w:rPr>
          <w:rFonts w:ascii="Arial" w:hAnsi="Arial" w:cs="Arial"/>
          <w:b/>
          <w:bCs/>
        </w:rPr>
        <w:t xml:space="preserve">3- La permuta. </w:t>
      </w:r>
      <w:r w:rsidRPr="00E55265">
        <w:rPr>
          <w:rFonts w:ascii="Arial" w:hAnsi="Arial" w:cs="Arial"/>
        </w:rPr>
        <w:t xml:space="preserve">Concepto, elementos, efectos, diferencias con otras figuras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ind w:firstLine="708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t xml:space="preserve">4- La cesión. </w:t>
      </w:r>
      <w:r w:rsidRPr="00E55265">
        <w:rPr>
          <w:rFonts w:ascii="Arial" w:hAnsi="Arial" w:cs="Arial"/>
        </w:rPr>
        <w:t>Concepto, elementos, efectos, c</w:t>
      </w:r>
      <w:r w:rsidR="0081102D" w:rsidRPr="00E55265">
        <w:rPr>
          <w:rFonts w:ascii="Arial" w:hAnsi="Arial" w:cs="Arial"/>
        </w:rPr>
        <w:t>lases</w:t>
      </w:r>
      <w:r w:rsidRPr="00E55265">
        <w:rPr>
          <w:rFonts w:ascii="Arial" w:hAnsi="Arial" w:cs="Arial"/>
        </w:rPr>
        <w:t xml:space="preserve"> especiales</w:t>
      </w:r>
      <w:r w:rsidR="0081102D" w:rsidRPr="00E55265">
        <w:rPr>
          <w:rFonts w:ascii="Arial" w:hAnsi="Arial" w:cs="Arial"/>
        </w:rPr>
        <w:t xml:space="preserve"> de cesión.</w:t>
      </w:r>
      <w:r w:rsidRPr="00E55265">
        <w:rPr>
          <w:rFonts w:ascii="Arial" w:hAnsi="Arial" w:cs="Arial"/>
        </w:rPr>
        <w:t xml:space="preserve">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AA2EA2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  <w:r w:rsidRPr="00E55265">
        <w:rPr>
          <w:rFonts w:ascii="Arial" w:hAnsi="Arial" w:cs="Arial"/>
          <w:b/>
          <w:bCs/>
        </w:rPr>
        <w:t>H</w:t>
      </w:r>
      <w:r w:rsidR="007557C0" w:rsidRPr="00E55265">
        <w:rPr>
          <w:rFonts w:ascii="Arial" w:hAnsi="Arial" w:cs="Arial"/>
          <w:b/>
          <w:bCs/>
        </w:rPr>
        <w:t>). - Contratos de utilización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t xml:space="preserve">1- El préstamo de dinero. </w:t>
      </w:r>
      <w:r w:rsidRPr="00E55265">
        <w:rPr>
          <w:rFonts w:ascii="Arial" w:hAnsi="Arial" w:cs="Arial"/>
        </w:rPr>
        <w:t xml:space="preserve">Concepto. Elementos. Efectos. Modalidades. Contratos afines.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t>2- El arrendamiento.</w:t>
      </w:r>
      <w:r w:rsidRPr="00E55265">
        <w:rPr>
          <w:rFonts w:ascii="Arial" w:hAnsi="Arial" w:cs="Arial"/>
        </w:rPr>
        <w:t xml:space="preserve"> Concepto. Elementos. Efectos. Arrendamientos especiales.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</w:rPr>
        <w:t xml:space="preserve">3- </w:t>
      </w:r>
      <w:r w:rsidRPr="00E55265">
        <w:rPr>
          <w:rFonts w:ascii="Arial" w:hAnsi="Arial" w:cs="Arial"/>
          <w:b/>
          <w:bCs/>
        </w:rPr>
        <w:t xml:space="preserve">El inquilinato. </w:t>
      </w:r>
      <w:r w:rsidRPr="00E55265">
        <w:rPr>
          <w:rFonts w:ascii="Arial" w:hAnsi="Arial" w:cs="Arial"/>
        </w:rPr>
        <w:t xml:space="preserve">Concepto. Objeto. Precio. Fijación. Plazo. Extinción. Causales de resolución y regímenes especiales.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AA2EA2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  <w:r w:rsidRPr="00E55265">
        <w:rPr>
          <w:rFonts w:ascii="Arial" w:hAnsi="Arial" w:cs="Arial"/>
          <w:b/>
          <w:bCs/>
        </w:rPr>
        <w:t>I</w:t>
      </w:r>
      <w:r w:rsidR="007557C0" w:rsidRPr="00E55265">
        <w:rPr>
          <w:rFonts w:ascii="Arial" w:hAnsi="Arial" w:cs="Arial"/>
          <w:b/>
          <w:bCs/>
        </w:rPr>
        <w:t>). - Contratos de cooperación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t xml:space="preserve">1- El mandato. </w:t>
      </w:r>
      <w:r w:rsidRPr="00E55265">
        <w:rPr>
          <w:rFonts w:ascii="Arial" w:hAnsi="Arial" w:cs="Arial"/>
        </w:rPr>
        <w:t xml:space="preserve">Concepto. Elementos. Efectos. Modalidades.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lastRenderedPageBreak/>
        <w:t>2- La fianza.</w:t>
      </w:r>
      <w:r w:rsidRPr="00E55265">
        <w:rPr>
          <w:rFonts w:ascii="Arial" w:hAnsi="Arial" w:cs="Arial"/>
        </w:rPr>
        <w:t xml:space="preserve"> Concepto. Fianza Civil y Mercantil. Elementos. Efectos. Diferencias.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t>3- Préstamo.</w:t>
      </w:r>
      <w:r w:rsidRPr="00E55265">
        <w:rPr>
          <w:rFonts w:ascii="Arial" w:hAnsi="Arial" w:cs="Arial"/>
        </w:rPr>
        <w:t xml:space="preserve"> Comodato. Mutuo. Concepto. Elementos. Efectos. Responsabilidad de las partes. Extinción. 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  <w:b/>
          <w:bCs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  <w:b/>
          <w:bCs/>
        </w:rPr>
        <w:t>4-Cuota litis.</w:t>
      </w:r>
      <w:r w:rsidRPr="00E55265">
        <w:rPr>
          <w:rFonts w:ascii="Arial" w:hAnsi="Arial" w:cs="Arial"/>
        </w:rPr>
        <w:t xml:space="preserve"> Concepto. Partes. Aspectos mínimos. Marco jurídico. </w:t>
      </w:r>
    </w:p>
    <w:p w:rsidR="00E55265" w:rsidRDefault="00E55265" w:rsidP="00E55265">
      <w:pPr>
        <w:widowControl w:val="0"/>
        <w:contextualSpacing/>
        <w:jc w:val="center"/>
        <w:rPr>
          <w:rFonts w:ascii="Arial" w:hAnsi="Arial" w:cs="Arial"/>
          <w:b/>
          <w:u w:val="single"/>
        </w:rPr>
      </w:pPr>
    </w:p>
    <w:p w:rsidR="00323EEF" w:rsidRPr="00E55265" w:rsidRDefault="00323EEF" w:rsidP="00E55265">
      <w:pPr>
        <w:widowControl w:val="0"/>
        <w:contextualSpacing/>
        <w:jc w:val="center"/>
        <w:rPr>
          <w:rFonts w:ascii="Arial" w:hAnsi="Arial" w:cs="Arial"/>
        </w:rPr>
      </w:pPr>
      <w:r w:rsidRPr="00E55265">
        <w:rPr>
          <w:rFonts w:ascii="Arial" w:hAnsi="Arial" w:cs="Arial"/>
          <w:b/>
          <w:u w:val="single"/>
        </w:rPr>
        <w:t>METODOLOGÍA</w:t>
      </w:r>
    </w:p>
    <w:p w:rsidR="00323EEF" w:rsidRPr="00E55265" w:rsidRDefault="00323EEF" w:rsidP="00E55265">
      <w:pPr>
        <w:widowControl w:val="0"/>
        <w:contextualSpacing/>
        <w:rPr>
          <w:rFonts w:ascii="Arial" w:hAnsi="Arial" w:cs="Arial"/>
        </w:rPr>
      </w:pPr>
    </w:p>
    <w:p w:rsidR="00323EEF" w:rsidRPr="00E55265" w:rsidRDefault="00323EEF" w:rsidP="00E55265">
      <w:pPr>
        <w:widowControl w:val="0"/>
        <w:ind w:firstLine="720"/>
        <w:contextualSpacing/>
        <w:jc w:val="both"/>
        <w:rPr>
          <w:rFonts w:ascii="Arial" w:hAnsi="Arial" w:cs="Arial"/>
        </w:rPr>
      </w:pPr>
    </w:p>
    <w:p w:rsidR="00740FAB" w:rsidRPr="00E55265" w:rsidRDefault="00740FAB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El curso considera la participación activa y</w:t>
      </w:r>
      <w:r w:rsidR="00277180" w:rsidRPr="00E55265">
        <w:rPr>
          <w:rFonts w:ascii="Arial" w:hAnsi="Arial" w:cs="Arial"/>
        </w:rPr>
        <w:t xml:space="preserve"> responsable de los estudiantes que se evidenciará en el </w:t>
      </w:r>
      <w:r w:rsidRPr="00E55265">
        <w:rPr>
          <w:rFonts w:ascii="Arial" w:hAnsi="Arial" w:cs="Arial"/>
        </w:rPr>
        <w:t>compromiso en las diversas actividades que se planifican</w:t>
      </w:r>
      <w:r w:rsidR="003420D2" w:rsidRPr="00E55265">
        <w:rPr>
          <w:rFonts w:ascii="Arial" w:hAnsi="Arial" w:cs="Arial"/>
        </w:rPr>
        <w:t>,</w:t>
      </w:r>
      <w:r w:rsidRPr="00E55265">
        <w:rPr>
          <w:rFonts w:ascii="Arial" w:hAnsi="Arial" w:cs="Arial"/>
        </w:rPr>
        <w:t xml:space="preserve"> la comunicación respetuosa entre los integrantes del grupo, además del análisis de los materiales seleccionados para su estudio</w:t>
      </w:r>
      <w:r w:rsidR="003420D2" w:rsidRPr="00E55265">
        <w:rPr>
          <w:rFonts w:ascii="Arial" w:hAnsi="Arial" w:cs="Arial"/>
        </w:rPr>
        <w:t xml:space="preserve"> y la asistencia a las lecciones presenciales</w:t>
      </w:r>
      <w:r w:rsidRPr="00E55265">
        <w:rPr>
          <w:rFonts w:ascii="Arial" w:hAnsi="Arial" w:cs="Arial"/>
        </w:rPr>
        <w:t xml:space="preserve">. </w:t>
      </w:r>
    </w:p>
    <w:p w:rsidR="00740FAB" w:rsidRPr="00E55265" w:rsidRDefault="00740FAB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277180" w:rsidRPr="00E55265" w:rsidRDefault="00740FAB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El curso es de naturaleza bimodal</w:t>
      </w:r>
      <w:r w:rsidR="00277180" w:rsidRPr="00E55265">
        <w:rPr>
          <w:rFonts w:ascii="Arial" w:hAnsi="Arial" w:cs="Arial"/>
        </w:rPr>
        <w:t xml:space="preserve"> con sesiones sincrónicas y asincrónicas a través de la plataforma </w:t>
      </w:r>
      <w:r w:rsidR="003420D2" w:rsidRPr="00E55265">
        <w:rPr>
          <w:rFonts w:ascii="Arial" w:hAnsi="Arial" w:cs="Arial"/>
        </w:rPr>
        <w:t>educativa</w:t>
      </w:r>
      <w:r w:rsidR="00277180" w:rsidRPr="00E55265">
        <w:rPr>
          <w:rFonts w:ascii="Arial" w:hAnsi="Arial" w:cs="Arial"/>
        </w:rPr>
        <w:t xml:space="preserve"> de la Universidad de Costa Rica (METICS)</w:t>
      </w:r>
      <w:r w:rsidRPr="00E55265">
        <w:rPr>
          <w:rFonts w:ascii="Arial" w:hAnsi="Arial" w:cs="Arial"/>
        </w:rPr>
        <w:t xml:space="preserve">, con un modelo de formación interactivo basado en el </w:t>
      </w:r>
      <w:r w:rsidR="003420D2" w:rsidRPr="00E55265">
        <w:rPr>
          <w:rFonts w:ascii="Arial" w:hAnsi="Arial" w:cs="Arial"/>
        </w:rPr>
        <w:t>aprendizaje</w:t>
      </w:r>
      <w:r w:rsidRPr="00E55265">
        <w:rPr>
          <w:rFonts w:ascii="Arial" w:hAnsi="Arial" w:cs="Arial"/>
        </w:rPr>
        <w:t xml:space="preserve"> colaborativo</w:t>
      </w:r>
      <w:r w:rsidR="00277180" w:rsidRPr="00E55265">
        <w:rPr>
          <w:rFonts w:ascii="Arial" w:hAnsi="Arial" w:cs="Arial"/>
        </w:rPr>
        <w:t>; para ello se tienen programadas actividades que promuevan prácticas de reflexión, análisis y discusión, as</w:t>
      </w:r>
      <w:r w:rsidR="003420D2" w:rsidRPr="00E55265">
        <w:rPr>
          <w:rFonts w:ascii="Arial" w:hAnsi="Arial" w:cs="Arial"/>
        </w:rPr>
        <w:t>í</w:t>
      </w:r>
      <w:r w:rsidR="00277180" w:rsidRPr="00E55265">
        <w:rPr>
          <w:rFonts w:ascii="Arial" w:hAnsi="Arial" w:cs="Arial"/>
        </w:rPr>
        <w:t xml:space="preserve"> como algunos </w:t>
      </w:r>
      <w:r w:rsidR="003420D2" w:rsidRPr="00E55265">
        <w:rPr>
          <w:rFonts w:ascii="Arial" w:hAnsi="Arial" w:cs="Arial"/>
        </w:rPr>
        <w:t>ejercicios</w:t>
      </w:r>
      <w:r w:rsidR="00277180" w:rsidRPr="00E55265">
        <w:rPr>
          <w:rFonts w:ascii="Arial" w:hAnsi="Arial" w:cs="Arial"/>
        </w:rPr>
        <w:t xml:space="preserve"> intencionados </w:t>
      </w:r>
      <w:r w:rsidR="00E55265">
        <w:rPr>
          <w:rFonts w:ascii="Arial" w:hAnsi="Arial" w:cs="Arial"/>
        </w:rPr>
        <w:t>por ejemplo</w:t>
      </w:r>
      <w:r w:rsidR="00277180" w:rsidRPr="00E55265">
        <w:rPr>
          <w:rFonts w:ascii="Arial" w:hAnsi="Arial" w:cs="Arial"/>
        </w:rPr>
        <w:t xml:space="preserve"> el estudio de casos, análisis y elaboración de contratos, entre otros.  </w:t>
      </w:r>
    </w:p>
    <w:p w:rsidR="00277180" w:rsidRPr="00E55265" w:rsidRDefault="0027718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7557C0" w:rsidRPr="00E55265" w:rsidRDefault="0027718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Los contenidos del curso están perfilados hacia la reflexión teórica-práctica, por lo que la lectura y revisión de todo el material que se coloque a su disposición y la participación en las actividades </w:t>
      </w:r>
      <w:r w:rsidR="00863A6B">
        <w:rPr>
          <w:rFonts w:ascii="Arial" w:hAnsi="Arial" w:cs="Arial"/>
        </w:rPr>
        <w:t>tales como</w:t>
      </w:r>
      <w:r w:rsidRPr="00E55265">
        <w:rPr>
          <w:rFonts w:ascii="Arial" w:hAnsi="Arial" w:cs="Arial"/>
        </w:rPr>
        <w:t xml:space="preserve"> foros de discusión, subida de asignaciones y otras serán claves para la aprobación del curso.</w:t>
      </w:r>
    </w:p>
    <w:p w:rsidR="00277180" w:rsidRPr="00E55265" w:rsidRDefault="0027718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277180" w:rsidRPr="00E55265" w:rsidRDefault="0027718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Se espera </w:t>
      </w:r>
      <w:r w:rsidR="003420D2" w:rsidRPr="00E55265">
        <w:rPr>
          <w:rFonts w:ascii="Arial" w:hAnsi="Arial" w:cs="Arial"/>
        </w:rPr>
        <w:t>que</w:t>
      </w:r>
      <w:r w:rsidRPr="00E55265">
        <w:rPr>
          <w:rFonts w:ascii="Arial" w:hAnsi="Arial" w:cs="Arial"/>
        </w:rPr>
        <w:t xml:space="preserve"> cada estudiante demuestre capacidades de </w:t>
      </w:r>
      <w:r w:rsidR="003420D2" w:rsidRPr="00E55265">
        <w:rPr>
          <w:rFonts w:ascii="Arial" w:hAnsi="Arial" w:cs="Arial"/>
        </w:rPr>
        <w:t>autonomía</w:t>
      </w:r>
      <w:r w:rsidRPr="00E55265">
        <w:rPr>
          <w:rFonts w:ascii="Arial" w:hAnsi="Arial" w:cs="Arial"/>
        </w:rPr>
        <w:t xml:space="preserve"> y resolución de problemas para salir adelante con los distintos retos que se vayan presentado</w:t>
      </w:r>
      <w:r w:rsidR="003420D2" w:rsidRPr="00E55265">
        <w:rPr>
          <w:rFonts w:ascii="Arial" w:hAnsi="Arial" w:cs="Arial"/>
        </w:rPr>
        <w:t>.</w:t>
      </w:r>
      <w:r w:rsidRPr="00E55265">
        <w:rPr>
          <w:rFonts w:ascii="Arial" w:hAnsi="Arial" w:cs="Arial"/>
        </w:rPr>
        <w:t xml:space="preserve"> </w:t>
      </w:r>
      <w:r w:rsidR="00F261E9" w:rsidRPr="00E55265">
        <w:rPr>
          <w:rFonts w:ascii="Arial" w:hAnsi="Arial" w:cs="Arial"/>
        </w:rPr>
        <w:t>Para efectos del curso la semana inicia el día lunes y finaliza el siguiente domingo.</w:t>
      </w:r>
    </w:p>
    <w:p w:rsidR="00323EEF" w:rsidRPr="00E55265" w:rsidRDefault="00323EEF" w:rsidP="00E55265">
      <w:pPr>
        <w:widowControl w:val="0"/>
        <w:contextualSpacing/>
        <w:rPr>
          <w:rFonts w:ascii="Arial" w:hAnsi="Arial" w:cs="Arial"/>
        </w:rPr>
      </w:pPr>
    </w:p>
    <w:p w:rsidR="00323EEF" w:rsidRPr="00E55265" w:rsidRDefault="00323EEF" w:rsidP="00E55265">
      <w:pPr>
        <w:widowControl w:val="0"/>
        <w:contextualSpacing/>
        <w:jc w:val="center"/>
        <w:rPr>
          <w:rFonts w:ascii="Arial" w:hAnsi="Arial" w:cs="Arial"/>
        </w:rPr>
      </w:pPr>
      <w:r w:rsidRPr="00E55265">
        <w:rPr>
          <w:rFonts w:ascii="Arial" w:hAnsi="Arial" w:cs="Arial"/>
          <w:b/>
          <w:u w:val="single"/>
        </w:rPr>
        <w:t>EVALUACIÓN</w:t>
      </w:r>
    </w:p>
    <w:p w:rsidR="00F261E9" w:rsidRPr="00E55265" w:rsidRDefault="00F261E9" w:rsidP="00E55265">
      <w:pPr>
        <w:contextualSpacing/>
        <w:jc w:val="both"/>
        <w:rPr>
          <w:rFonts w:ascii="Arial" w:hAnsi="Arial" w:cs="Arial"/>
        </w:rPr>
      </w:pPr>
    </w:p>
    <w:p w:rsidR="00F261E9" w:rsidRPr="00E55265" w:rsidRDefault="00F261E9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Se propone un proceso evaluativo que permita la retroalimentación y contribuir a la formación integral de los </w:t>
      </w:r>
      <w:r w:rsidR="00863A6B">
        <w:rPr>
          <w:rFonts w:ascii="Arial" w:hAnsi="Arial" w:cs="Arial"/>
        </w:rPr>
        <w:t>estudiantes</w:t>
      </w:r>
      <w:r w:rsidRPr="00E55265">
        <w:rPr>
          <w:rFonts w:ascii="Arial" w:hAnsi="Arial" w:cs="Arial"/>
        </w:rPr>
        <w:t xml:space="preserve">, para lo cual se articulan la evaluación formativa y </w:t>
      </w:r>
      <w:proofErr w:type="spellStart"/>
      <w:r w:rsidRPr="00E55265">
        <w:rPr>
          <w:rFonts w:ascii="Arial" w:hAnsi="Arial" w:cs="Arial"/>
        </w:rPr>
        <w:t>sumativa</w:t>
      </w:r>
      <w:proofErr w:type="spellEnd"/>
      <w:r w:rsidRPr="00E55265">
        <w:rPr>
          <w:rFonts w:ascii="Arial" w:hAnsi="Arial" w:cs="Arial"/>
        </w:rPr>
        <w:t xml:space="preserve"> en las diferentes actividades propuestas para tal</w:t>
      </w:r>
      <w:r w:rsidR="00863A6B">
        <w:rPr>
          <w:rFonts w:ascii="Arial" w:hAnsi="Arial" w:cs="Arial"/>
        </w:rPr>
        <w:t>es</w:t>
      </w:r>
      <w:r w:rsidRPr="00E55265">
        <w:rPr>
          <w:rFonts w:ascii="Arial" w:hAnsi="Arial" w:cs="Arial"/>
        </w:rPr>
        <w:t xml:space="preserve"> efecto</w:t>
      </w:r>
      <w:r w:rsidR="00863A6B">
        <w:rPr>
          <w:rFonts w:ascii="Arial" w:hAnsi="Arial" w:cs="Arial"/>
        </w:rPr>
        <w:t>s</w:t>
      </w:r>
      <w:r w:rsidRPr="00E55265">
        <w:rPr>
          <w:rFonts w:ascii="Arial" w:hAnsi="Arial" w:cs="Arial"/>
        </w:rPr>
        <w:t xml:space="preserve">, que comprende el desarrollo de: </w:t>
      </w:r>
    </w:p>
    <w:p w:rsidR="00577750" w:rsidRPr="00E55265" w:rsidRDefault="00577750" w:rsidP="00E55265">
      <w:pPr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9514" w:type="dxa"/>
        <w:jc w:val="center"/>
        <w:tblLook w:val="04A0" w:firstRow="1" w:lastRow="0" w:firstColumn="1" w:lastColumn="0" w:noHBand="0" w:noVBand="1"/>
      </w:tblPr>
      <w:tblGrid>
        <w:gridCol w:w="6238"/>
        <w:gridCol w:w="1276"/>
        <w:gridCol w:w="2000"/>
      </w:tblGrid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863A6B" w:rsidRDefault="00577750" w:rsidP="00E55265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863A6B">
              <w:rPr>
                <w:rFonts w:ascii="Arial" w:hAnsi="Arial" w:cs="Arial"/>
                <w:b/>
              </w:rPr>
              <w:lastRenderedPageBreak/>
              <w:t xml:space="preserve">Actividad </w:t>
            </w:r>
            <w:proofErr w:type="spellStart"/>
            <w:r w:rsidRPr="00863A6B">
              <w:rPr>
                <w:rFonts w:ascii="Arial" w:hAnsi="Arial" w:cs="Arial"/>
                <w:b/>
              </w:rPr>
              <w:t>sumativa</w:t>
            </w:r>
            <w:proofErr w:type="spellEnd"/>
          </w:p>
        </w:tc>
        <w:tc>
          <w:tcPr>
            <w:tcW w:w="1276" w:type="dxa"/>
          </w:tcPr>
          <w:p w:rsidR="00577750" w:rsidRPr="00863A6B" w:rsidRDefault="00577750" w:rsidP="00E55265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863A6B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000" w:type="dxa"/>
          </w:tcPr>
          <w:p w:rsidR="00577750" w:rsidRPr="00863A6B" w:rsidRDefault="00577750" w:rsidP="00E55265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863A6B">
              <w:rPr>
                <w:rFonts w:ascii="Arial" w:hAnsi="Arial" w:cs="Arial"/>
                <w:b/>
              </w:rPr>
              <w:t>Fecha de entrega</w:t>
            </w: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Guías de trabajo Mediación Virtual</w:t>
            </w:r>
            <w:r w:rsidR="00580AE2" w:rsidRPr="00E55265">
              <w:rPr>
                <w:rFonts w:ascii="Arial" w:hAnsi="Arial" w:cs="Arial"/>
              </w:rPr>
              <w:t xml:space="preserve"> (participación en foro</w:t>
            </w:r>
            <w:r w:rsidR="00E55265" w:rsidRPr="00E55265">
              <w:rPr>
                <w:rFonts w:ascii="Arial" w:hAnsi="Arial" w:cs="Arial"/>
              </w:rPr>
              <w:t xml:space="preserve"> 2%</w:t>
            </w:r>
            <w:r w:rsidR="00580AE2" w:rsidRPr="00E55265">
              <w:rPr>
                <w:rFonts w:ascii="Arial" w:hAnsi="Arial" w:cs="Arial"/>
              </w:rPr>
              <w:t>, elaboración de ensayo</w:t>
            </w:r>
            <w:r w:rsidR="00E55265" w:rsidRPr="00E55265">
              <w:rPr>
                <w:rFonts w:ascii="Arial" w:hAnsi="Arial" w:cs="Arial"/>
              </w:rPr>
              <w:t xml:space="preserve"> 3%</w:t>
            </w:r>
            <w:r w:rsidR="00580AE2" w:rsidRPr="00E55265">
              <w:rPr>
                <w:rFonts w:ascii="Arial" w:hAnsi="Arial" w:cs="Arial"/>
              </w:rPr>
              <w:t>, análisis de caso</w:t>
            </w:r>
            <w:r w:rsidR="00E55265" w:rsidRPr="00E55265">
              <w:rPr>
                <w:rFonts w:ascii="Arial" w:hAnsi="Arial" w:cs="Arial"/>
              </w:rPr>
              <w:t xml:space="preserve"> 3%</w:t>
            </w:r>
            <w:r w:rsidR="00580AE2" w:rsidRPr="00E55265">
              <w:rPr>
                <w:rFonts w:ascii="Arial" w:hAnsi="Arial" w:cs="Arial"/>
              </w:rPr>
              <w:t xml:space="preserve"> y elaboración de cuadros sinópticos y comparativos</w:t>
            </w:r>
            <w:r w:rsidR="00E55265" w:rsidRPr="00E55265">
              <w:rPr>
                <w:rFonts w:ascii="Arial" w:hAnsi="Arial" w:cs="Arial"/>
              </w:rPr>
              <w:t xml:space="preserve"> 12%</w:t>
            </w:r>
            <w:r w:rsidR="00580AE2" w:rsidRPr="00E55265">
              <w:rPr>
                <w:rFonts w:ascii="Arial" w:hAnsi="Arial" w:cs="Arial"/>
              </w:rPr>
              <w:t>).</w:t>
            </w:r>
          </w:p>
        </w:tc>
        <w:tc>
          <w:tcPr>
            <w:tcW w:w="1276" w:type="dxa"/>
          </w:tcPr>
          <w:p w:rsidR="00577750" w:rsidRPr="00E55265" w:rsidRDefault="00E55265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20%</w:t>
            </w:r>
          </w:p>
        </w:tc>
        <w:tc>
          <w:tcPr>
            <w:tcW w:w="2000" w:type="dxa"/>
          </w:tcPr>
          <w:p w:rsidR="00577750" w:rsidRPr="00E55265" w:rsidRDefault="00E55265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Sesiones asincrónicas según corresponda.</w:t>
            </w: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Ejercicio grupal sobre un caso de resolución contractual y determinación de daños y/o perjuicios</w:t>
            </w:r>
            <w:r w:rsidR="00E55265" w:rsidRPr="00E55265">
              <w:rPr>
                <w:rFonts w:ascii="Arial" w:hAnsi="Arial" w:cs="Arial"/>
              </w:rPr>
              <w:t xml:space="preserve"> (3 personas)</w:t>
            </w:r>
            <w:r w:rsidRPr="00E55265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5%</w:t>
            </w:r>
          </w:p>
        </w:tc>
        <w:tc>
          <w:tcPr>
            <w:tcW w:w="2000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26 de setiembre</w:t>
            </w: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Análisis grupal de un contrato</w:t>
            </w:r>
            <w:r w:rsidR="00E55265" w:rsidRPr="00E55265">
              <w:rPr>
                <w:rFonts w:ascii="Arial" w:hAnsi="Arial" w:cs="Arial"/>
              </w:rPr>
              <w:t xml:space="preserve"> (6 personas)</w:t>
            </w:r>
            <w:r w:rsidRPr="00E55265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10%</w:t>
            </w:r>
          </w:p>
        </w:tc>
        <w:tc>
          <w:tcPr>
            <w:tcW w:w="2000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10 de octubre</w:t>
            </w: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Elaboración grupal de un contrato</w:t>
            </w:r>
            <w:r w:rsidR="00E55265" w:rsidRPr="00E55265">
              <w:rPr>
                <w:rFonts w:ascii="Arial" w:hAnsi="Arial" w:cs="Arial"/>
              </w:rPr>
              <w:t xml:space="preserve"> (6 personas).</w:t>
            </w:r>
          </w:p>
        </w:tc>
        <w:tc>
          <w:tcPr>
            <w:tcW w:w="1276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10%</w:t>
            </w:r>
          </w:p>
        </w:tc>
        <w:tc>
          <w:tcPr>
            <w:tcW w:w="2000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31 de octubre</w:t>
            </w: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Prueba escrita</w:t>
            </w:r>
            <w:r w:rsidR="00E55265" w:rsidRPr="00E55265">
              <w:rPr>
                <w:rFonts w:ascii="Arial" w:hAnsi="Arial" w:cs="Arial"/>
              </w:rPr>
              <w:t xml:space="preserve"> (individual)</w:t>
            </w:r>
          </w:p>
        </w:tc>
        <w:tc>
          <w:tcPr>
            <w:tcW w:w="1276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25%</w:t>
            </w:r>
          </w:p>
        </w:tc>
        <w:tc>
          <w:tcPr>
            <w:tcW w:w="2000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Trabajo de investigación</w:t>
            </w:r>
            <w:r w:rsidR="00E55265" w:rsidRPr="00E55265">
              <w:rPr>
                <w:rFonts w:ascii="Arial" w:hAnsi="Arial" w:cs="Arial"/>
              </w:rPr>
              <w:t xml:space="preserve"> grupal (3 personas)</w:t>
            </w:r>
          </w:p>
        </w:tc>
        <w:tc>
          <w:tcPr>
            <w:tcW w:w="1276" w:type="dxa"/>
          </w:tcPr>
          <w:p w:rsidR="00577750" w:rsidRPr="00E55265" w:rsidRDefault="00577750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20%</w:t>
            </w:r>
          </w:p>
        </w:tc>
        <w:tc>
          <w:tcPr>
            <w:tcW w:w="2000" w:type="dxa"/>
          </w:tcPr>
          <w:p w:rsidR="00577750" w:rsidRPr="00E55265" w:rsidRDefault="00E55265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 xml:space="preserve">14 </w:t>
            </w:r>
            <w:proofErr w:type="spellStart"/>
            <w:r w:rsidRPr="00E55265">
              <w:rPr>
                <w:rFonts w:ascii="Arial" w:hAnsi="Arial" w:cs="Arial"/>
              </w:rPr>
              <w:t>ó</w:t>
            </w:r>
            <w:proofErr w:type="spellEnd"/>
            <w:r w:rsidRPr="00E55265">
              <w:rPr>
                <w:rFonts w:ascii="Arial" w:hAnsi="Arial" w:cs="Arial"/>
              </w:rPr>
              <w:t xml:space="preserve"> 21 de noviembre según corresponda </w:t>
            </w:r>
          </w:p>
        </w:tc>
      </w:tr>
      <w:tr w:rsidR="00577750" w:rsidRPr="00E55265" w:rsidTr="00E55265">
        <w:trPr>
          <w:jc w:val="center"/>
        </w:trPr>
        <w:tc>
          <w:tcPr>
            <w:tcW w:w="6238" w:type="dxa"/>
          </w:tcPr>
          <w:p w:rsidR="00577750" w:rsidRPr="00E55265" w:rsidRDefault="00580AE2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 xml:space="preserve">Análisis reflexivo del </w:t>
            </w:r>
            <w:r w:rsidR="00E55265" w:rsidRPr="00E55265">
              <w:rPr>
                <w:rFonts w:ascii="Arial" w:hAnsi="Arial" w:cs="Arial"/>
              </w:rPr>
              <w:t>Congreso Internacional Las Nuevas Fronteras del Derecho Contractual. Grupal.</w:t>
            </w:r>
          </w:p>
        </w:tc>
        <w:tc>
          <w:tcPr>
            <w:tcW w:w="1276" w:type="dxa"/>
          </w:tcPr>
          <w:p w:rsidR="00577750" w:rsidRPr="00E55265" w:rsidRDefault="00E55265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10%</w:t>
            </w:r>
          </w:p>
        </w:tc>
        <w:tc>
          <w:tcPr>
            <w:tcW w:w="2000" w:type="dxa"/>
          </w:tcPr>
          <w:p w:rsidR="00577750" w:rsidRPr="00E55265" w:rsidRDefault="00E55265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28 de noviembre</w:t>
            </w:r>
          </w:p>
        </w:tc>
      </w:tr>
    </w:tbl>
    <w:p w:rsidR="00577750" w:rsidRPr="00E55265" w:rsidRDefault="00577750" w:rsidP="00E55265">
      <w:pPr>
        <w:contextualSpacing/>
        <w:jc w:val="both"/>
        <w:rPr>
          <w:rFonts w:ascii="Arial" w:hAnsi="Arial" w:cs="Arial"/>
        </w:rPr>
      </w:pPr>
    </w:p>
    <w:p w:rsidR="00323EEF" w:rsidRPr="00E55265" w:rsidRDefault="00F261E9" w:rsidP="00E55265">
      <w:pPr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Se espera </w:t>
      </w:r>
      <w:proofErr w:type="gramStart"/>
      <w:r w:rsidRPr="00E55265">
        <w:rPr>
          <w:rFonts w:ascii="Arial" w:hAnsi="Arial" w:cs="Arial"/>
        </w:rPr>
        <w:t>que</w:t>
      </w:r>
      <w:proofErr w:type="gramEnd"/>
      <w:r w:rsidRPr="00E55265">
        <w:rPr>
          <w:rFonts w:ascii="Arial" w:hAnsi="Arial" w:cs="Arial"/>
        </w:rPr>
        <w:t xml:space="preserve"> para cada una de las actividades, los y las participantes del curso evidencien, procesos reflexivos, argumentativos y propositivos según lo solicitado en cada una de ellas.</w:t>
      </w:r>
    </w:p>
    <w:p w:rsidR="00863A6B" w:rsidRDefault="00863A6B" w:rsidP="00E55265">
      <w:pPr>
        <w:widowControl w:val="0"/>
        <w:contextualSpacing/>
        <w:jc w:val="center"/>
        <w:rPr>
          <w:rFonts w:ascii="Arial" w:hAnsi="Arial" w:cs="Arial"/>
          <w:b/>
          <w:u w:val="single"/>
        </w:rPr>
      </w:pPr>
    </w:p>
    <w:p w:rsidR="00323EEF" w:rsidRPr="00E55265" w:rsidRDefault="00323EEF" w:rsidP="00E55265">
      <w:pPr>
        <w:widowControl w:val="0"/>
        <w:contextualSpacing/>
        <w:jc w:val="center"/>
        <w:rPr>
          <w:rFonts w:ascii="Arial" w:hAnsi="Arial" w:cs="Arial"/>
        </w:rPr>
      </w:pPr>
      <w:r w:rsidRPr="00E55265">
        <w:rPr>
          <w:rFonts w:ascii="Arial" w:hAnsi="Arial" w:cs="Arial"/>
          <w:b/>
          <w:u w:val="single"/>
        </w:rPr>
        <w:t>BIBLIOGRAFÍA</w:t>
      </w:r>
    </w:p>
    <w:p w:rsidR="00323EEF" w:rsidRPr="00E55265" w:rsidRDefault="00323EEF" w:rsidP="00E55265">
      <w:pPr>
        <w:widowControl w:val="0"/>
        <w:contextualSpacing/>
        <w:jc w:val="both"/>
        <w:rPr>
          <w:rFonts w:ascii="Arial" w:hAnsi="Arial" w:cs="Arial"/>
        </w:rPr>
      </w:pPr>
    </w:p>
    <w:p w:rsidR="00304B3D" w:rsidRPr="00E55265" w:rsidRDefault="00304B3D" w:rsidP="00E55265">
      <w:pPr>
        <w:pStyle w:val="Piedepgina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>A). – Libros</w:t>
      </w:r>
    </w:p>
    <w:p w:rsidR="00304B3D" w:rsidRPr="00E55265" w:rsidRDefault="00304B3D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C22397" w:rsidRPr="00C87E02" w:rsidRDefault="00C22397" w:rsidP="00C22397">
      <w:pPr>
        <w:jc w:val="both"/>
        <w:rPr>
          <w:rFonts w:ascii="Arial" w:hAnsi="Arial" w:cs="Arial"/>
        </w:rPr>
      </w:pPr>
      <w:proofErr w:type="spellStart"/>
      <w:proofErr w:type="gramStart"/>
      <w:r w:rsidRPr="00C87E02">
        <w:rPr>
          <w:rFonts w:ascii="Arial" w:hAnsi="Arial" w:cs="Arial"/>
        </w:rPr>
        <w:t>Albaladejo</w:t>
      </w:r>
      <w:proofErr w:type="spellEnd"/>
      <w:r w:rsidRPr="00C87E02">
        <w:rPr>
          <w:rFonts w:ascii="Arial" w:hAnsi="Arial" w:cs="Arial"/>
        </w:rPr>
        <w:t xml:space="preserve">  Manuel</w:t>
      </w:r>
      <w:proofErr w:type="gramEnd"/>
      <w:r w:rsidRPr="00C87E02">
        <w:rPr>
          <w:rFonts w:ascii="Arial" w:hAnsi="Arial" w:cs="Arial"/>
        </w:rPr>
        <w:t xml:space="preserve">.   </w:t>
      </w:r>
      <w:r w:rsidRPr="00C87E02">
        <w:rPr>
          <w:rFonts w:ascii="Arial" w:hAnsi="Arial" w:cs="Arial"/>
          <w:u w:val="single"/>
        </w:rPr>
        <w:t>Derecho Civil.</w:t>
      </w:r>
      <w:r w:rsidRPr="00C87E02">
        <w:rPr>
          <w:rFonts w:ascii="Arial" w:hAnsi="Arial" w:cs="Arial"/>
        </w:rPr>
        <w:t xml:space="preserve">   Tomo II. Vol. I.  La obligación y el contrato en general.    </w:t>
      </w:r>
    </w:p>
    <w:p w:rsidR="00C22397" w:rsidRDefault="00C22397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proofErr w:type="spellStart"/>
      <w:r w:rsidRPr="00E55265">
        <w:rPr>
          <w:rFonts w:ascii="Arial" w:hAnsi="Arial" w:cs="Arial"/>
        </w:rPr>
        <w:t>Alterini</w:t>
      </w:r>
      <w:proofErr w:type="spellEnd"/>
      <w:r w:rsidRPr="00E55265">
        <w:rPr>
          <w:rFonts w:ascii="Arial" w:hAnsi="Arial" w:cs="Arial"/>
        </w:rPr>
        <w:t xml:space="preserve"> (Atilio). Contratos civiles mercantiles de consumo. Editorial </w:t>
      </w:r>
      <w:proofErr w:type="spellStart"/>
      <w:r w:rsidRPr="00E55265">
        <w:rPr>
          <w:rFonts w:ascii="Arial" w:hAnsi="Arial" w:cs="Arial"/>
        </w:rPr>
        <w:t>Abeledo-Perrot</w:t>
      </w:r>
      <w:proofErr w:type="spellEnd"/>
      <w:r w:rsidRPr="00E55265">
        <w:rPr>
          <w:rFonts w:ascii="Arial" w:hAnsi="Arial" w:cs="Arial"/>
        </w:rPr>
        <w:t>. Buenos Aires, 1989.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CD51AB" w:rsidRPr="00E55265" w:rsidRDefault="00CD51AB" w:rsidP="00E55265">
      <w:pPr>
        <w:pStyle w:val="Piedepgina"/>
        <w:contextualSpacing/>
        <w:jc w:val="both"/>
        <w:rPr>
          <w:rFonts w:ascii="Arial" w:hAnsi="Arial" w:cs="Arial"/>
        </w:rPr>
      </w:pPr>
      <w:proofErr w:type="spellStart"/>
      <w:r w:rsidRPr="00E55265">
        <w:rPr>
          <w:rFonts w:ascii="Arial" w:hAnsi="Arial" w:cs="Arial"/>
        </w:rPr>
        <w:t>Baudrit</w:t>
      </w:r>
      <w:proofErr w:type="spellEnd"/>
      <w:r w:rsidRPr="00E55265">
        <w:rPr>
          <w:rFonts w:ascii="Arial" w:hAnsi="Arial" w:cs="Arial"/>
        </w:rPr>
        <w:t xml:space="preserve"> Carrillo (Diego). Derecho Civil 4 Volumen 1 Teoría General del Contrato. Tercera Edición. Editorial </w:t>
      </w:r>
      <w:proofErr w:type="spellStart"/>
      <w:r w:rsidRPr="00E55265">
        <w:rPr>
          <w:rFonts w:ascii="Arial" w:hAnsi="Arial" w:cs="Arial"/>
        </w:rPr>
        <w:t>Juricentro</w:t>
      </w:r>
      <w:proofErr w:type="spellEnd"/>
      <w:r w:rsidRPr="00E55265">
        <w:rPr>
          <w:rFonts w:ascii="Arial" w:hAnsi="Arial" w:cs="Arial"/>
        </w:rPr>
        <w:t>. San José, 2000.</w:t>
      </w:r>
    </w:p>
    <w:p w:rsidR="00CD51AB" w:rsidRPr="00E55265" w:rsidRDefault="00CD51AB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proofErr w:type="spellStart"/>
      <w:r w:rsidRPr="00E55265">
        <w:rPr>
          <w:rFonts w:ascii="Arial" w:hAnsi="Arial" w:cs="Arial"/>
        </w:rPr>
        <w:t>Baudrit</w:t>
      </w:r>
      <w:proofErr w:type="spellEnd"/>
      <w:r w:rsidRPr="00E55265">
        <w:rPr>
          <w:rFonts w:ascii="Arial" w:hAnsi="Arial" w:cs="Arial"/>
        </w:rPr>
        <w:t xml:space="preserve"> Carrillo (D.). Los contratos traslativos del derecho privado. </w:t>
      </w:r>
      <w:proofErr w:type="spellStart"/>
      <w:r w:rsidRPr="00E55265">
        <w:rPr>
          <w:rFonts w:ascii="Arial" w:hAnsi="Arial" w:cs="Arial"/>
        </w:rPr>
        <w:t>Juricentro</w:t>
      </w:r>
      <w:proofErr w:type="spellEnd"/>
      <w:r w:rsidRPr="00E55265">
        <w:rPr>
          <w:rFonts w:ascii="Arial" w:hAnsi="Arial" w:cs="Arial"/>
        </w:rPr>
        <w:t>. San José, 1984.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CD51AB" w:rsidRPr="00E55265" w:rsidRDefault="00CD51AB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lastRenderedPageBreak/>
        <w:t xml:space="preserve">Brenes Córdoba (Alberto). Tratado de los Contratos. Cuarta Edición revisada y actualizada por Gerardo Trejos y Marina Ramírez. Editorial </w:t>
      </w:r>
      <w:proofErr w:type="spellStart"/>
      <w:r w:rsidRPr="00E55265">
        <w:rPr>
          <w:rFonts w:ascii="Arial" w:hAnsi="Arial" w:cs="Arial"/>
        </w:rPr>
        <w:t>Juricentro</w:t>
      </w:r>
      <w:proofErr w:type="spellEnd"/>
      <w:r w:rsidRPr="00E55265">
        <w:rPr>
          <w:rFonts w:ascii="Arial" w:hAnsi="Arial" w:cs="Arial"/>
        </w:rPr>
        <w:t>. San José, 1992.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Paris (Hernando). Los contratos privados en la jurisprudencia de casación. Segunda edición. </w:t>
      </w:r>
      <w:proofErr w:type="spellStart"/>
      <w:r w:rsidRPr="00E55265">
        <w:rPr>
          <w:rFonts w:ascii="Arial" w:hAnsi="Arial" w:cs="Arial"/>
        </w:rPr>
        <w:t>Com</w:t>
      </w:r>
      <w:proofErr w:type="spellEnd"/>
      <w:r w:rsidRPr="00E55265">
        <w:rPr>
          <w:rFonts w:ascii="Arial" w:hAnsi="Arial" w:cs="Arial"/>
        </w:rPr>
        <w:t xml:space="preserve">, </w:t>
      </w:r>
      <w:proofErr w:type="spellStart"/>
      <w:r w:rsidRPr="00E55265">
        <w:rPr>
          <w:rFonts w:ascii="Arial" w:hAnsi="Arial" w:cs="Arial"/>
        </w:rPr>
        <w:t>Nal</w:t>
      </w:r>
      <w:proofErr w:type="spellEnd"/>
      <w:r w:rsidRPr="00E55265">
        <w:rPr>
          <w:rFonts w:ascii="Arial" w:hAnsi="Arial" w:cs="Arial"/>
        </w:rPr>
        <w:t>. Para el Mejoramiento de la Administración de Justicia. San José, 1992.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CD51AB" w:rsidRPr="00E55265" w:rsidRDefault="00CD51AB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Pérez Vargas (Víctor). Derecho Privado. Tercera Edición revisada. Imprenta y Litografía </w:t>
      </w:r>
      <w:proofErr w:type="spellStart"/>
      <w:r w:rsidRPr="00E55265">
        <w:rPr>
          <w:rFonts w:ascii="Arial" w:hAnsi="Arial" w:cs="Arial"/>
        </w:rPr>
        <w:t>Lil</w:t>
      </w:r>
      <w:proofErr w:type="spellEnd"/>
      <w:r w:rsidRPr="00E55265">
        <w:rPr>
          <w:rFonts w:ascii="Arial" w:hAnsi="Arial" w:cs="Arial"/>
        </w:rPr>
        <w:t xml:space="preserve"> S.A., San José, 1994.</w:t>
      </w:r>
    </w:p>
    <w:p w:rsidR="00CD51AB" w:rsidRPr="00E55265" w:rsidRDefault="00CD51AB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 xml:space="preserve">Ramírez Altamirano (Marina). Los contratos traslativos de dominio. Editorial </w:t>
      </w:r>
      <w:proofErr w:type="spellStart"/>
      <w:r w:rsidRPr="00E55265">
        <w:rPr>
          <w:rFonts w:ascii="Arial" w:hAnsi="Arial" w:cs="Arial"/>
        </w:rPr>
        <w:t>Juricentro</w:t>
      </w:r>
      <w:proofErr w:type="spellEnd"/>
      <w:r w:rsidRPr="00E55265">
        <w:rPr>
          <w:rFonts w:ascii="Arial" w:hAnsi="Arial" w:cs="Arial"/>
        </w:rPr>
        <w:t>, San José.</w:t>
      </w:r>
    </w:p>
    <w:p w:rsidR="007557C0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177D2C" w:rsidRPr="00E55265" w:rsidRDefault="00177D2C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BA151C" w:rsidRDefault="00304B3D" w:rsidP="00E55265">
      <w:pPr>
        <w:pStyle w:val="Piedepgina"/>
        <w:contextualSpacing/>
        <w:jc w:val="both"/>
        <w:rPr>
          <w:rFonts w:ascii="Arial" w:hAnsi="Arial" w:cs="Arial"/>
          <w:b/>
        </w:rPr>
      </w:pPr>
      <w:r w:rsidRPr="00E55265">
        <w:rPr>
          <w:rFonts w:ascii="Arial" w:hAnsi="Arial" w:cs="Arial"/>
          <w:b/>
        </w:rPr>
        <w:t>B). –</w:t>
      </w:r>
      <w:r w:rsidR="00BA151C">
        <w:rPr>
          <w:rFonts w:ascii="Arial" w:hAnsi="Arial" w:cs="Arial"/>
          <w:b/>
        </w:rPr>
        <w:t xml:space="preserve"> Documentos de sitio web</w:t>
      </w:r>
    </w:p>
    <w:p w:rsidR="00BA151C" w:rsidRDefault="00BA151C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B86877" w:rsidRDefault="00B86877" w:rsidP="000F75B9">
      <w:pPr>
        <w:pStyle w:val="Piedepgina"/>
        <w:contextualSpacing/>
        <w:jc w:val="both"/>
        <w:rPr>
          <w:rFonts w:ascii="Arial" w:hAnsi="Arial" w:cs="Arial"/>
        </w:rPr>
      </w:pPr>
      <w:r w:rsidRPr="00B86877">
        <w:rPr>
          <w:rFonts w:ascii="Arial" w:hAnsi="Arial" w:cs="Arial"/>
        </w:rPr>
        <w:t xml:space="preserve">Alemán </w:t>
      </w:r>
      <w:proofErr w:type="spellStart"/>
      <w:r w:rsidRPr="00B86877">
        <w:rPr>
          <w:rFonts w:ascii="Arial" w:hAnsi="Arial" w:cs="Arial"/>
        </w:rPr>
        <w:t>Monterreal</w:t>
      </w:r>
      <w:proofErr w:type="spellEnd"/>
      <w:r w:rsidRPr="00B86877">
        <w:rPr>
          <w:rFonts w:ascii="Arial" w:hAnsi="Arial" w:cs="Arial"/>
        </w:rPr>
        <w:t xml:space="preserve">, Ana. El contrato estimatorio: desde el derecho romano a su regulación </w:t>
      </w:r>
      <w:proofErr w:type="gramStart"/>
      <w:r w:rsidRPr="00B86877">
        <w:rPr>
          <w:rFonts w:ascii="Arial" w:hAnsi="Arial" w:cs="Arial"/>
        </w:rPr>
        <w:t>actual..</w:t>
      </w:r>
      <w:proofErr w:type="gramEnd"/>
      <w:r w:rsidRPr="00B86877">
        <w:rPr>
          <w:rFonts w:ascii="Arial" w:hAnsi="Arial" w:cs="Arial"/>
        </w:rPr>
        <w:t xml:space="preserve"> Madrid, ES: </w:t>
      </w:r>
      <w:proofErr w:type="spellStart"/>
      <w:r w:rsidRPr="00B86877">
        <w:rPr>
          <w:rFonts w:ascii="Arial" w:hAnsi="Arial" w:cs="Arial"/>
        </w:rPr>
        <w:t>Dykinson</w:t>
      </w:r>
      <w:proofErr w:type="spellEnd"/>
      <w:r w:rsidRPr="00B86877">
        <w:rPr>
          <w:rFonts w:ascii="Arial" w:hAnsi="Arial" w:cs="Arial"/>
        </w:rPr>
        <w:t xml:space="preserve">, 2004. </w:t>
      </w:r>
      <w:proofErr w:type="spellStart"/>
      <w:r w:rsidRPr="00B86877">
        <w:rPr>
          <w:rFonts w:ascii="Arial" w:hAnsi="Arial" w:cs="Arial"/>
        </w:rPr>
        <w:t>Accessed</w:t>
      </w:r>
      <w:proofErr w:type="spellEnd"/>
      <w:r w:rsidRPr="00B86877">
        <w:rPr>
          <w:rFonts w:ascii="Arial" w:hAnsi="Arial" w:cs="Arial"/>
        </w:rPr>
        <w:t xml:space="preserve"> </w:t>
      </w:r>
      <w:proofErr w:type="spellStart"/>
      <w:r w:rsidRPr="00B86877">
        <w:rPr>
          <w:rFonts w:ascii="Arial" w:hAnsi="Arial" w:cs="Arial"/>
        </w:rPr>
        <w:t>August</w:t>
      </w:r>
      <w:proofErr w:type="spellEnd"/>
      <w:r w:rsidRPr="00B86877">
        <w:rPr>
          <w:rFonts w:ascii="Arial" w:hAnsi="Arial" w:cs="Arial"/>
        </w:rPr>
        <w:t xml:space="preserve"> 21, 2016. </w:t>
      </w:r>
      <w:proofErr w:type="spellStart"/>
      <w:r w:rsidRPr="00B86877">
        <w:rPr>
          <w:rFonts w:ascii="Arial" w:hAnsi="Arial" w:cs="Arial"/>
        </w:rPr>
        <w:t>ProQuest</w:t>
      </w:r>
      <w:proofErr w:type="spellEnd"/>
      <w:r w:rsidRPr="00B86877">
        <w:rPr>
          <w:rFonts w:ascii="Arial" w:hAnsi="Arial" w:cs="Arial"/>
        </w:rPr>
        <w:t xml:space="preserve"> </w:t>
      </w:r>
      <w:proofErr w:type="spellStart"/>
      <w:r w:rsidRPr="00B86877">
        <w:rPr>
          <w:rFonts w:ascii="Arial" w:hAnsi="Arial" w:cs="Arial"/>
        </w:rPr>
        <w:t>ebrary</w:t>
      </w:r>
      <w:proofErr w:type="spellEnd"/>
      <w:r w:rsidRPr="00B86877">
        <w:rPr>
          <w:rFonts w:ascii="Arial" w:hAnsi="Arial" w:cs="Arial"/>
        </w:rPr>
        <w:t>.</w:t>
      </w:r>
    </w:p>
    <w:p w:rsidR="00B86877" w:rsidRDefault="00B86877" w:rsidP="000F75B9">
      <w:pPr>
        <w:pStyle w:val="Piedepgina"/>
        <w:contextualSpacing/>
        <w:jc w:val="both"/>
        <w:rPr>
          <w:rFonts w:ascii="Arial" w:hAnsi="Arial" w:cs="Arial"/>
        </w:rPr>
      </w:pPr>
    </w:p>
    <w:p w:rsidR="000F75B9" w:rsidRPr="00BA151C" w:rsidRDefault="000F75B9" w:rsidP="000F75B9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Convenio de cuota litis (Argentina). </w:t>
      </w:r>
      <w:proofErr w:type="spellStart"/>
      <w:r>
        <w:rPr>
          <w:rFonts w:ascii="Arial" w:hAnsi="Arial" w:cs="Arial"/>
        </w:rPr>
        <w:t>sf</w:t>
      </w:r>
      <w:proofErr w:type="spellEnd"/>
      <w:r>
        <w:rPr>
          <w:rFonts w:ascii="Arial" w:hAnsi="Arial" w:cs="Arial"/>
        </w:rPr>
        <w:t xml:space="preserve">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0F75B9" w:rsidRDefault="000F75B9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6C0864" w:rsidRPr="00BA151C" w:rsidRDefault="006C0864" w:rsidP="006C0864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Vicios ocultos y acción redhibitoria. 01 de </w:t>
      </w:r>
      <w:proofErr w:type="gramStart"/>
      <w:r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de 2007.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6C0864" w:rsidRDefault="006C0864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682E62" w:rsidRPr="00BA151C" w:rsidRDefault="00682E62" w:rsidP="00682E62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</w:t>
      </w:r>
      <w:r>
        <w:rPr>
          <w:rFonts w:ascii="Arial" w:hAnsi="Arial" w:cs="Arial"/>
        </w:rPr>
        <w:t>Teoría de la imprevisión contractual</w:t>
      </w:r>
      <w:r>
        <w:rPr>
          <w:rFonts w:ascii="Arial" w:hAnsi="Arial" w:cs="Arial"/>
        </w:rPr>
        <w:t xml:space="preserve">. 01 de </w:t>
      </w:r>
      <w:proofErr w:type="gramStart"/>
      <w:r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de 2007.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6C0864" w:rsidRDefault="006C0864" w:rsidP="000F75B9">
      <w:pPr>
        <w:pStyle w:val="Piedepgina"/>
        <w:contextualSpacing/>
        <w:jc w:val="both"/>
        <w:rPr>
          <w:rFonts w:ascii="Arial" w:hAnsi="Arial" w:cs="Arial"/>
        </w:rPr>
      </w:pPr>
    </w:p>
    <w:p w:rsidR="006C0864" w:rsidRPr="00BA151C" w:rsidRDefault="006C0864" w:rsidP="006C0864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</w:t>
      </w:r>
      <w:r>
        <w:rPr>
          <w:rFonts w:ascii="Arial" w:hAnsi="Arial" w:cs="Arial"/>
        </w:rPr>
        <w:t>Sobre el daño moral y los vicios ocultos</w:t>
      </w:r>
      <w:r>
        <w:rPr>
          <w:rFonts w:ascii="Arial" w:hAnsi="Arial" w:cs="Arial"/>
        </w:rPr>
        <w:t xml:space="preserve">. 01 de </w:t>
      </w:r>
      <w:proofErr w:type="gramStart"/>
      <w:r>
        <w:rPr>
          <w:rFonts w:ascii="Arial" w:hAnsi="Arial" w:cs="Arial"/>
        </w:rPr>
        <w:t>May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de 200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6C0864" w:rsidRDefault="006C0864" w:rsidP="000F75B9">
      <w:pPr>
        <w:pStyle w:val="Piedepgina"/>
        <w:contextualSpacing/>
        <w:jc w:val="both"/>
        <w:rPr>
          <w:rFonts w:ascii="Arial" w:hAnsi="Arial" w:cs="Arial"/>
        </w:rPr>
      </w:pPr>
    </w:p>
    <w:p w:rsidR="000F75B9" w:rsidRPr="00BA151C" w:rsidRDefault="000F75B9" w:rsidP="000F75B9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Jurisprudencia sobre el contrato de cuota litis. Febrero de 2010.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0F75B9" w:rsidRDefault="000F75B9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0F75B9" w:rsidRPr="00BA151C" w:rsidRDefault="000F75B9" w:rsidP="000F75B9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garantía de evicción. Julio de 2010.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0F75B9" w:rsidRDefault="000F75B9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BA151C" w:rsidRPr="00BA151C" w:rsidRDefault="00BA151C" w:rsidP="00E5526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Centro de Información Jurídica en Línea. «CIJULENLINEA.» </w:t>
      </w:r>
      <w:r w:rsidR="00C46A0A">
        <w:rPr>
          <w:rFonts w:ascii="Arial" w:hAnsi="Arial" w:cs="Arial"/>
        </w:rPr>
        <w:t xml:space="preserve">Excesiva onerosidad sobreviniente. </w:t>
      </w:r>
      <w:r>
        <w:rPr>
          <w:rFonts w:ascii="Arial" w:hAnsi="Arial" w:cs="Arial"/>
        </w:rPr>
        <w:t xml:space="preserve">Julio de 2011.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BA151C" w:rsidRDefault="00BA151C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8E0FC5" w:rsidRPr="00BA151C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Efectos contractuales respecto a terceros. 09 de </w:t>
      </w:r>
      <w:proofErr w:type="gramStart"/>
      <w:r>
        <w:rPr>
          <w:rFonts w:ascii="Arial" w:hAnsi="Arial" w:cs="Arial"/>
        </w:rPr>
        <w:t>Octubre</w:t>
      </w:r>
      <w:proofErr w:type="gramEnd"/>
      <w:r>
        <w:rPr>
          <w:rFonts w:ascii="Arial" w:hAnsi="Arial" w:cs="Arial"/>
        </w:rPr>
        <w:t xml:space="preserve"> de 2011.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validez, ineficacia y nulidad del contrato. Octubre de 2011.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Pr="00BA151C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indexación. Junio de 2012.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Pr="00BA151C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rescisión y el incumplimiento contractual. 27 de Julio de 2012.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Jurisprudencia sobre el desahucio por incumplimiento contractual. 21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2012.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Pr="00BA151C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Elementos del contrato de arrendamiento. 28 de Setiembre de 2012.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Pr="00BA151C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El incumplimiento en el contrato de compraventa. 11 de </w:t>
      </w:r>
      <w:proofErr w:type="gramStart"/>
      <w:r>
        <w:rPr>
          <w:rFonts w:ascii="Arial" w:hAnsi="Arial" w:cs="Arial"/>
        </w:rPr>
        <w:t>Octubre</w:t>
      </w:r>
      <w:proofErr w:type="gramEnd"/>
      <w:r>
        <w:rPr>
          <w:rFonts w:ascii="Arial" w:hAnsi="Arial" w:cs="Arial"/>
        </w:rPr>
        <w:t xml:space="preserve"> de 2012.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8E0FC5" w:rsidRDefault="008E0FC5" w:rsidP="008E0FC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Precio ruinoso y excesiva onerosidad sobreviniente en la contratación. 09 de </w:t>
      </w:r>
      <w:proofErr w:type="gramStart"/>
      <w:r>
        <w:rPr>
          <w:rFonts w:ascii="Arial" w:hAnsi="Arial" w:cs="Arial"/>
        </w:rPr>
        <w:t>Noviembre</w:t>
      </w:r>
      <w:proofErr w:type="gramEnd"/>
      <w:r>
        <w:rPr>
          <w:rFonts w:ascii="Arial" w:hAnsi="Arial" w:cs="Arial"/>
        </w:rPr>
        <w:t xml:space="preserve"> de 201</w:t>
      </w:r>
      <w:r w:rsidR="00442C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442C2D" w:rsidRDefault="00442C2D" w:rsidP="008E0FC5">
      <w:pPr>
        <w:pStyle w:val="Piedepgina"/>
        <w:contextualSpacing/>
        <w:jc w:val="both"/>
        <w:rPr>
          <w:rFonts w:ascii="Arial" w:hAnsi="Arial" w:cs="Arial"/>
        </w:rPr>
      </w:pPr>
    </w:p>
    <w:p w:rsidR="00442C2D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El reajuste del precio en el arriendo de bienes inmuebles no destinados a la vivienda. 09 de </w:t>
      </w:r>
      <w:proofErr w:type="gramStart"/>
      <w:r>
        <w:rPr>
          <w:rFonts w:ascii="Arial" w:hAnsi="Arial" w:cs="Arial"/>
        </w:rPr>
        <w:t>Enero</w:t>
      </w:r>
      <w:proofErr w:type="gramEnd"/>
      <w:r>
        <w:rPr>
          <w:rFonts w:ascii="Arial" w:hAnsi="Arial" w:cs="Arial"/>
        </w:rPr>
        <w:t xml:space="preserve"> de 2013.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442C2D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442C2D" w:rsidRPr="00BA151C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Doctrina sobre el mandato. 13 de </w:t>
      </w:r>
      <w:proofErr w:type="gramStart"/>
      <w:r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 de 2013.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442C2D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6C0864" w:rsidRPr="00BA151C" w:rsidRDefault="006C0864" w:rsidP="006C0864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</w:t>
      </w:r>
      <w:r>
        <w:rPr>
          <w:rFonts w:ascii="Arial" w:hAnsi="Arial" w:cs="Arial"/>
        </w:rPr>
        <w:t>La garantía en el Código Civil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442C2D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Centro de Información Jurídica en Línea. «CIJULENLINEA.» El poder especialísimo. 19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2013.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442C2D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3E6526" w:rsidRPr="00BA151C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compraventa agraria. 24 de abril de 2013.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Default="003E6526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442C2D" w:rsidRPr="00BA151C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Jurisprudencia sobre la prescripción en el contrato de arrendamiento. 25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2013.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442C2D" w:rsidRDefault="00442C2D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3E6526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cesión del contrato de arrendamiento. 26 de </w:t>
      </w:r>
      <w:proofErr w:type="gramStart"/>
      <w:r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de 2014.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</w:p>
    <w:p w:rsidR="003E6526" w:rsidRPr="00BA151C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Molestias causadas por las reparaciones del bien en el contrato de arrendamiento. 15 de </w:t>
      </w:r>
      <w:proofErr w:type="gramStart"/>
      <w:r>
        <w:rPr>
          <w:rFonts w:ascii="Arial" w:hAnsi="Arial" w:cs="Arial"/>
        </w:rPr>
        <w:t>Mayo</w:t>
      </w:r>
      <w:proofErr w:type="gramEnd"/>
      <w:r>
        <w:rPr>
          <w:rFonts w:ascii="Arial" w:hAnsi="Arial" w:cs="Arial"/>
        </w:rPr>
        <w:t xml:space="preserve"> de 2014.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Pr="00BA151C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</w:p>
    <w:p w:rsidR="003E6526" w:rsidRPr="00BA151C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Intereses corrientes y moratorios. 04 de Setiembre de 2014.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Default="003E6526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3E6526" w:rsidRPr="00BA151C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Jurisprudencia sobre el incumplimiento en el contrato de arrendamiento. 18 de Setiembre de 2014.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Default="003E6526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3E6526" w:rsidRPr="00BA151C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La terminación del contrato de arrendamiento. 19 de Setiembre de 2014.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Default="003E6526" w:rsidP="00442C2D">
      <w:pPr>
        <w:pStyle w:val="Piedepgina"/>
        <w:contextualSpacing/>
        <w:jc w:val="both"/>
        <w:rPr>
          <w:rFonts w:ascii="Arial" w:hAnsi="Arial" w:cs="Arial"/>
        </w:rPr>
      </w:pPr>
    </w:p>
    <w:p w:rsidR="003E6526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Jurisprudencia sobre la rescisión de la venta como derecho del consumidor. 03 de </w:t>
      </w:r>
      <w:proofErr w:type="gramStart"/>
      <w:r>
        <w:rPr>
          <w:rFonts w:ascii="Arial" w:hAnsi="Arial" w:cs="Arial"/>
        </w:rPr>
        <w:t>Octubre</w:t>
      </w:r>
      <w:proofErr w:type="gramEnd"/>
      <w:r>
        <w:rPr>
          <w:rFonts w:ascii="Arial" w:hAnsi="Arial" w:cs="Arial"/>
        </w:rPr>
        <w:t xml:space="preserve"> de 2014.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3E6526" w:rsidRDefault="003E6526" w:rsidP="003E6526">
      <w:pPr>
        <w:pStyle w:val="Piedepgina"/>
        <w:contextualSpacing/>
        <w:jc w:val="both"/>
        <w:rPr>
          <w:rFonts w:ascii="Arial" w:hAnsi="Arial" w:cs="Arial"/>
        </w:rPr>
      </w:pPr>
    </w:p>
    <w:p w:rsidR="000F75B9" w:rsidRDefault="000F75B9" w:rsidP="000F75B9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Subrogación en el contrato de arrendamiento por muerte del arrendatario. 06 de marzo de 2015.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0F75B9" w:rsidRDefault="000F75B9" w:rsidP="000F75B9">
      <w:pPr>
        <w:pStyle w:val="Piedepgina"/>
        <w:contextualSpacing/>
        <w:jc w:val="both"/>
        <w:rPr>
          <w:rFonts w:ascii="Arial" w:hAnsi="Arial" w:cs="Arial"/>
        </w:rPr>
      </w:pPr>
    </w:p>
    <w:p w:rsidR="000F75B9" w:rsidRPr="00BA151C" w:rsidRDefault="000F75B9" w:rsidP="000F75B9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Información Jurídica en Línea. «CIJULENLINEA.» El reajuste de precio en el contrato de arrendamiento de vivienda. 27 de mayo de 2015. (último acceso: 02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2016).</w:t>
      </w:r>
    </w:p>
    <w:p w:rsidR="00B86877" w:rsidRPr="00C22397" w:rsidRDefault="00B86877" w:rsidP="000F75B9">
      <w:pPr>
        <w:pStyle w:val="Piedepgina"/>
        <w:contextualSpacing/>
        <w:jc w:val="both"/>
        <w:rPr>
          <w:rFonts w:ascii="Arial" w:hAnsi="Arial" w:cs="Arial"/>
          <w:lang w:val="es-CR"/>
        </w:rPr>
      </w:pPr>
      <w:r w:rsidRPr="00B86877">
        <w:rPr>
          <w:rFonts w:ascii="Arial" w:hAnsi="Arial" w:cs="Arial"/>
        </w:rPr>
        <w:lastRenderedPageBreak/>
        <w:t xml:space="preserve">Cuadrado Pérez, Carlos. La cesión de créditos. </w:t>
      </w:r>
      <w:r w:rsidRPr="00C22397">
        <w:rPr>
          <w:rFonts w:ascii="Arial" w:hAnsi="Arial" w:cs="Arial"/>
          <w:lang w:val="es-CR"/>
        </w:rPr>
        <w:t xml:space="preserve">Madrid, ES: </w:t>
      </w:r>
      <w:proofErr w:type="spellStart"/>
      <w:r w:rsidRPr="00C22397">
        <w:rPr>
          <w:rFonts w:ascii="Arial" w:hAnsi="Arial" w:cs="Arial"/>
          <w:lang w:val="es-CR"/>
        </w:rPr>
        <w:t>Dykinson</w:t>
      </w:r>
      <w:proofErr w:type="spellEnd"/>
      <w:r w:rsidRPr="00C22397">
        <w:rPr>
          <w:rFonts w:ascii="Arial" w:hAnsi="Arial" w:cs="Arial"/>
          <w:lang w:val="es-CR"/>
        </w:rPr>
        <w:t xml:space="preserve">, 2015. </w:t>
      </w:r>
      <w:proofErr w:type="spellStart"/>
      <w:r w:rsidRPr="00C22397">
        <w:rPr>
          <w:rFonts w:ascii="Arial" w:hAnsi="Arial" w:cs="Arial"/>
          <w:lang w:val="es-CR"/>
        </w:rPr>
        <w:t>Accessed</w:t>
      </w:r>
      <w:proofErr w:type="spellEnd"/>
      <w:r w:rsidRPr="00C22397">
        <w:rPr>
          <w:rFonts w:ascii="Arial" w:hAnsi="Arial" w:cs="Arial"/>
          <w:lang w:val="es-CR"/>
        </w:rPr>
        <w:t xml:space="preserve"> </w:t>
      </w:r>
      <w:proofErr w:type="spellStart"/>
      <w:r w:rsidRPr="00C22397">
        <w:rPr>
          <w:rFonts w:ascii="Arial" w:hAnsi="Arial" w:cs="Arial"/>
          <w:lang w:val="es-CR"/>
        </w:rPr>
        <w:t>August</w:t>
      </w:r>
      <w:proofErr w:type="spellEnd"/>
      <w:r w:rsidRPr="00C22397">
        <w:rPr>
          <w:rFonts w:ascii="Arial" w:hAnsi="Arial" w:cs="Arial"/>
          <w:lang w:val="es-CR"/>
        </w:rPr>
        <w:t xml:space="preserve"> 21, 2016. </w:t>
      </w:r>
      <w:proofErr w:type="spellStart"/>
      <w:r w:rsidRPr="00B86877">
        <w:rPr>
          <w:rFonts w:ascii="Arial" w:hAnsi="Arial" w:cs="Arial"/>
          <w:lang w:val="es-CR"/>
        </w:rPr>
        <w:t>ProQuest</w:t>
      </w:r>
      <w:proofErr w:type="spellEnd"/>
      <w:r w:rsidRPr="00B86877">
        <w:rPr>
          <w:rFonts w:ascii="Arial" w:hAnsi="Arial" w:cs="Arial"/>
          <w:lang w:val="es-CR"/>
        </w:rPr>
        <w:t xml:space="preserve"> </w:t>
      </w:r>
      <w:proofErr w:type="spellStart"/>
      <w:r w:rsidRPr="00B86877">
        <w:rPr>
          <w:rFonts w:ascii="Arial" w:hAnsi="Arial" w:cs="Arial"/>
          <w:lang w:val="es-CR"/>
        </w:rPr>
        <w:t>ebrary</w:t>
      </w:r>
      <w:proofErr w:type="spellEnd"/>
      <w:r w:rsidRPr="00B86877">
        <w:rPr>
          <w:rFonts w:ascii="Arial" w:hAnsi="Arial" w:cs="Arial"/>
          <w:lang w:val="es-CR"/>
        </w:rPr>
        <w:t>.</w:t>
      </w:r>
    </w:p>
    <w:p w:rsidR="00B86877" w:rsidRPr="00C22397" w:rsidRDefault="00B86877" w:rsidP="000F75B9">
      <w:pPr>
        <w:pStyle w:val="Piedepgina"/>
        <w:contextualSpacing/>
        <w:jc w:val="both"/>
        <w:rPr>
          <w:rFonts w:ascii="Arial" w:hAnsi="Arial" w:cs="Arial"/>
          <w:lang w:val="es-CR"/>
        </w:rPr>
      </w:pPr>
    </w:p>
    <w:p w:rsidR="00B86877" w:rsidRPr="00C22397" w:rsidRDefault="00B86877" w:rsidP="000F75B9">
      <w:pPr>
        <w:pStyle w:val="Piedepgina"/>
        <w:contextualSpacing/>
        <w:jc w:val="both"/>
        <w:rPr>
          <w:rFonts w:ascii="Arial" w:hAnsi="Arial" w:cs="Arial"/>
          <w:lang w:val="es-CR"/>
        </w:rPr>
      </w:pPr>
      <w:r w:rsidRPr="00B86877">
        <w:rPr>
          <w:rFonts w:ascii="Arial" w:hAnsi="Arial" w:cs="Arial"/>
          <w:lang w:val="es-CR"/>
        </w:rPr>
        <w:t xml:space="preserve">Cuestiones sobre la compraventa en el código civil: principios europeos y </w:t>
      </w:r>
      <w:proofErr w:type="spellStart"/>
      <w:r w:rsidRPr="00B86877">
        <w:rPr>
          <w:rFonts w:ascii="Arial" w:hAnsi="Arial" w:cs="Arial"/>
          <w:lang w:val="es-CR"/>
        </w:rPr>
        <w:t>Draft</w:t>
      </w:r>
      <w:proofErr w:type="spellEnd"/>
      <w:r w:rsidRPr="00B86877">
        <w:rPr>
          <w:rFonts w:ascii="Arial" w:hAnsi="Arial" w:cs="Arial"/>
          <w:lang w:val="es-CR"/>
        </w:rPr>
        <w:t xml:space="preserve">. </w:t>
      </w:r>
      <w:r w:rsidRPr="00C22397">
        <w:rPr>
          <w:rFonts w:ascii="Arial" w:hAnsi="Arial" w:cs="Arial"/>
          <w:lang w:val="es-CR"/>
        </w:rPr>
        <w:t xml:space="preserve">Madrid, ES: </w:t>
      </w:r>
      <w:proofErr w:type="spellStart"/>
      <w:r w:rsidRPr="00C22397">
        <w:rPr>
          <w:rFonts w:ascii="Arial" w:hAnsi="Arial" w:cs="Arial"/>
          <w:lang w:val="es-CR"/>
        </w:rPr>
        <w:t>Dykinson</w:t>
      </w:r>
      <w:proofErr w:type="spellEnd"/>
      <w:r w:rsidRPr="00C22397">
        <w:rPr>
          <w:rFonts w:ascii="Arial" w:hAnsi="Arial" w:cs="Arial"/>
          <w:lang w:val="es-CR"/>
        </w:rPr>
        <w:t xml:space="preserve">, 2011. </w:t>
      </w:r>
      <w:proofErr w:type="spellStart"/>
      <w:r w:rsidRPr="00C22397">
        <w:rPr>
          <w:rFonts w:ascii="Arial" w:hAnsi="Arial" w:cs="Arial"/>
          <w:lang w:val="es-CR"/>
        </w:rPr>
        <w:t>Accessed</w:t>
      </w:r>
      <w:proofErr w:type="spellEnd"/>
      <w:r w:rsidRPr="00C22397">
        <w:rPr>
          <w:rFonts w:ascii="Arial" w:hAnsi="Arial" w:cs="Arial"/>
          <w:lang w:val="es-CR"/>
        </w:rPr>
        <w:t xml:space="preserve"> </w:t>
      </w:r>
      <w:proofErr w:type="spellStart"/>
      <w:r w:rsidRPr="00C22397">
        <w:rPr>
          <w:rFonts w:ascii="Arial" w:hAnsi="Arial" w:cs="Arial"/>
          <w:lang w:val="es-CR"/>
        </w:rPr>
        <w:t>August</w:t>
      </w:r>
      <w:proofErr w:type="spellEnd"/>
      <w:r w:rsidRPr="00C22397">
        <w:rPr>
          <w:rFonts w:ascii="Arial" w:hAnsi="Arial" w:cs="Arial"/>
          <w:lang w:val="es-CR"/>
        </w:rPr>
        <w:t xml:space="preserve"> 21, 2016. </w:t>
      </w:r>
      <w:proofErr w:type="spellStart"/>
      <w:r w:rsidRPr="00C22397">
        <w:rPr>
          <w:rFonts w:ascii="Arial" w:hAnsi="Arial" w:cs="Arial"/>
          <w:lang w:val="es-CR"/>
        </w:rPr>
        <w:t>ProQuest</w:t>
      </w:r>
      <w:proofErr w:type="spellEnd"/>
      <w:r w:rsidRPr="00C22397">
        <w:rPr>
          <w:rFonts w:ascii="Arial" w:hAnsi="Arial" w:cs="Arial"/>
          <w:lang w:val="es-CR"/>
        </w:rPr>
        <w:t xml:space="preserve"> </w:t>
      </w:r>
      <w:proofErr w:type="spellStart"/>
      <w:r w:rsidRPr="00C22397">
        <w:rPr>
          <w:rFonts w:ascii="Arial" w:hAnsi="Arial" w:cs="Arial"/>
          <w:lang w:val="es-CR"/>
        </w:rPr>
        <w:t>ebrary</w:t>
      </w:r>
      <w:proofErr w:type="spellEnd"/>
      <w:r w:rsidRPr="00C22397">
        <w:rPr>
          <w:rFonts w:ascii="Arial" w:hAnsi="Arial" w:cs="Arial"/>
          <w:lang w:val="es-CR"/>
        </w:rPr>
        <w:t>.</w:t>
      </w:r>
    </w:p>
    <w:p w:rsidR="00D865CF" w:rsidRDefault="00D865CF" w:rsidP="000F75B9">
      <w:pPr>
        <w:pStyle w:val="Piedepgina"/>
        <w:contextualSpacing/>
        <w:jc w:val="both"/>
        <w:rPr>
          <w:rFonts w:ascii="Arial" w:hAnsi="Arial" w:cs="Arial"/>
          <w:lang w:val="es-CR"/>
        </w:rPr>
      </w:pPr>
    </w:p>
    <w:p w:rsidR="00B86877" w:rsidRPr="00C22397" w:rsidRDefault="00B86877" w:rsidP="000F75B9">
      <w:pPr>
        <w:pStyle w:val="Piedepgina"/>
        <w:contextualSpacing/>
        <w:jc w:val="both"/>
        <w:rPr>
          <w:rFonts w:ascii="Arial" w:hAnsi="Arial" w:cs="Arial"/>
          <w:lang w:val="es-CR"/>
        </w:rPr>
      </w:pPr>
      <w:r w:rsidRPr="00B86877">
        <w:rPr>
          <w:rFonts w:ascii="Arial" w:hAnsi="Arial" w:cs="Arial"/>
          <w:lang w:val="es-CR"/>
        </w:rPr>
        <w:t xml:space="preserve">Díez Soto, Carlos Manuel. Contratos sobre bienes litigiosos y su rescisión. </w:t>
      </w:r>
      <w:r w:rsidRPr="00C22397">
        <w:rPr>
          <w:rFonts w:ascii="Arial" w:hAnsi="Arial" w:cs="Arial"/>
          <w:lang w:val="es-CR"/>
        </w:rPr>
        <w:t xml:space="preserve">Madrid, ES: Editorial Reus, 2013. </w:t>
      </w:r>
      <w:proofErr w:type="spellStart"/>
      <w:r w:rsidRPr="00C22397">
        <w:rPr>
          <w:rFonts w:ascii="Arial" w:hAnsi="Arial" w:cs="Arial"/>
          <w:lang w:val="es-CR"/>
        </w:rPr>
        <w:t>Accessed</w:t>
      </w:r>
      <w:proofErr w:type="spellEnd"/>
      <w:r w:rsidRPr="00C22397">
        <w:rPr>
          <w:rFonts w:ascii="Arial" w:hAnsi="Arial" w:cs="Arial"/>
          <w:lang w:val="es-CR"/>
        </w:rPr>
        <w:t xml:space="preserve"> </w:t>
      </w:r>
      <w:proofErr w:type="spellStart"/>
      <w:r w:rsidRPr="00C22397">
        <w:rPr>
          <w:rFonts w:ascii="Arial" w:hAnsi="Arial" w:cs="Arial"/>
          <w:lang w:val="es-CR"/>
        </w:rPr>
        <w:t>August</w:t>
      </w:r>
      <w:proofErr w:type="spellEnd"/>
      <w:r w:rsidRPr="00C22397">
        <w:rPr>
          <w:rFonts w:ascii="Arial" w:hAnsi="Arial" w:cs="Arial"/>
          <w:lang w:val="es-CR"/>
        </w:rPr>
        <w:t xml:space="preserve"> 21, 2016. </w:t>
      </w:r>
      <w:proofErr w:type="spellStart"/>
      <w:r w:rsidRPr="00C22397">
        <w:rPr>
          <w:rFonts w:ascii="Arial" w:hAnsi="Arial" w:cs="Arial"/>
          <w:lang w:val="es-CR"/>
        </w:rPr>
        <w:t>ProQuest</w:t>
      </w:r>
      <w:proofErr w:type="spellEnd"/>
      <w:r w:rsidRPr="00C22397">
        <w:rPr>
          <w:rFonts w:ascii="Arial" w:hAnsi="Arial" w:cs="Arial"/>
          <w:lang w:val="es-CR"/>
        </w:rPr>
        <w:t xml:space="preserve"> </w:t>
      </w:r>
      <w:proofErr w:type="spellStart"/>
      <w:r w:rsidRPr="00C22397">
        <w:rPr>
          <w:rFonts w:ascii="Arial" w:hAnsi="Arial" w:cs="Arial"/>
          <w:lang w:val="es-CR"/>
        </w:rPr>
        <w:t>ebrary</w:t>
      </w:r>
      <w:proofErr w:type="spellEnd"/>
      <w:r w:rsidRPr="00C22397">
        <w:rPr>
          <w:rFonts w:ascii="Arial" w:hAnsi="Arial" w:cs="Arial"/>
          <w:lang w:val="es-CR"/>
        </w:rPr>
        <w:t>.</w:t>
      </w:r>
    </w:p>
    <w:p w:rsidR="00D865CF" w:rsidRDefault="00D865CF" w:rsidP="000F75B9">
      <w:pPr>
        <w:pStyle w:val="Piedepgina"/>
        <w:contextualSpacing/>
        <w:jc w:val="both"/>
        <w:rPr>
          <w:rFonts w:ascii="Arial" w:hAnsi="Arial" w:cs="Arial"/>
          <w:lang w:val="es-CR"/>
        </w:rPr>
      </w:pPr>
    </w:p>
    <w:p w:rsidR="00B86877" w:rsidRDefault="00B86877" w:rsidP="000F75B9">
      <w:pPr>
        <w:pStyle w:val="Piedepgina"/>
        <w:contextualSpacing/>
        <w:jc w:val="both"/>
        <w:rPr>
          <w:rFonts w:ascii="Arial" w:hAnsi="Arial" w:cs="Arial"/>
          <w:lang w:val="en-US"/>
        </w:rPr>
      </w:pPr>
      <w:r w:rsidRPr="00B86877">
        <w:rPr>
          <w:rFonts w:ascii="Arial" w:hAnsi="Arial" w:cs="Arial"/>
          <w:lang w:val="es-CR"/>
        </w:rPr>
        <w:t xml:space="preserve">Pujol Capilla, Purificación. La compraventa con pacto de sobrevivencia. </w:t>
      </w:r>
      <w:r w:rsidRPr="00B86877">
        <w:rPr>
          <w:rFonts w:ascii="Arial" w:hAnsi="Arial" w:cs="Arial"/>
          <w:lang w:val="en-US"/>
        </w:rPr>
        <w:t xml:space="preserve">Barcelona, ES: J.M. BOSCH EDITOR, 2004. Accessed August 21, 2016. ProQuest </w:t>
      </w:r>
      <w:proofErr w:type="spellStart"/>
      <w:r w:rsidRPr="00B86877">
        <w:rPr>
          <w:rFonts w:ascii="Arial" w:hAnsi="Arial" w:cs="Arial"/>
          <w:lang w:val="en-US"/>
        </w:rPr>
        <w:t>ebrary</w:t>
      </w:r>
      <w:proofErr w:type="spellEnd"/>
      <w:r w:rsidRPr="00B86877">
        <w:rPr>
          <w:rFonts w:ascii="Arial" w:hAnsi="Arial" w:cs="Arial"/>
          <w:lang w:val="en-US"/>
        </w:rPr>
        <w:t>.</w:t>
      </w:r>
    </w:p>
    <w:p w:rsidR="00B86877" w:rsidRPr="00B86877" w:rsidRDefault="00B86877" w:rsidP="000F75B9">
      <w:pPr>
        <w:pStyle w:val="Piedepgina"/>
        <w:contextualSpacing/>
        <w:jc w:val="both"/>
        <w:rPr>
          <w:rFonts w:ascii="Arial" w:hAnsi="Arial" w:cs="Arial"/>
          <w:lang w:val="en-US"/>
        </w:rPr>
      </w:pPr>
    </w:p>
    <w:p w:rsidR="003E6526" w:rsidRPr="00B86877" w:rsidRDefault="00B86877" w:rsidP="003E6526">
      <w:pPr>
        <w:pStyle w:val="Piedepgina"/>
        <w:contextualSpacing/>
        <w:jc w:val="both"/>
        <w:rPr>
          <w:rFonts w:ascii="Arial" w:hAnsi="Arial" w:cs="Arial"/>
          <w:lang w:val="es-CR"/>
        </w:rPr>
      </w:pPr>
      <w:proofErr w:type="spellStart"/>
      <w:r w:rsidRPr="00B86877">
        <w:rPr>
          <w:rFonts w:ascii="Arial" w:hAnsi="Arial" w:cs="Arial"/>
          <w:lang w:val="es-CR"/>
        </w:rPr>
        <w:t>Tort-Martorell</w:t>
      </w:r>
      <w:proofErr w:type="spellEnd"/>
      <w:r w:rsidRPr="00B86877">
        <w:rPr>
          <w:rFonts w:ascii="Arial" w:hAnsi="Arial" w:cs="Arial"/>
          <w:lang w:val="es-CR"/>
        </w:rPr>
        <w:t xml:space="preserve"> </w:t>
      </w:r>
      <w:proofErr w:type="spellStart"/>
      <w:r w:rsidRPr="00B86877">
        <w:rPr>
          <w:rFonts w:ascii="Arial" w:hAnsi="Arial" w:cs="Arial"/>
          <w:lang w:val="es-CR"/>
        </w:rPr>
        <w:t>Llabrés</w:t>
      </w:r>
      <w:proofErr w:type="spellEnd"/>
      <w:r w:rsidRPr="00B86877">
        <w:rPr>
          <w:rFonts w:ascii="Arial" w:hAnsi="Arial" w:cs="Arial"/>
          <w:lang w:val="es-CR"/>
        </w:rPr>
        <w:t xml:space="preserve">, Carmen. La revocación de la </w:t>
      </w:r>
      <w:proofErr w:type="spellStart"/>
      <w:r w:rsidRPr="00B86877">
        <w:rPr>
          <w:rFonts w:ascii="Arial" w:hAnsi="Arial" w:cs="Arial"/>
          <w:lang w:val="es-CR"/>
        </w:rPr>
        <w:t>donatio</w:t>
      </w:r>
      <w:proofErr w:type="spellEnd"/>
      <w:r w:rsidRPr="00B86877">
        <w:rPr>
          <w:rFonts w:ascii="Arial" w:hAnsi="Arial" w:cs="Arial"/>
          <w:lang w:val="es-CR"/>
        </w:rPr>
        <w:t xml:space="preserve"> mortis causa en el derecho romano clásico. Madrid, ESPAÑA: </w:t>
      </w:r>
      <w:proofErr w:type="spellStart"/>
      <w:r w:rsidRPr="00B86877">
        <w:rPr>
          <w:rFonts w:ascii="Arial" w:hAnsi="Arial" w:cs="Arial"/>
          <w:lang w:val="es-CR"/>
        </w:rPr>
        <w:t>Dykinson</w:t>
      </w:r>
      <w:proofErr w:type="spellEnd"/>
      <w:r w:rsidRPr="00B86877">
        <w:rPr>
          <w:rFonts w:ascii="Arial" w:hAnsi="Arial" w:cs="Arial"/>
          <w:lang w:val="es-CR"/>
        </w:rPr>
        <w:t xml:space="preserve">, 2003. </w:t>
      </w:r>
      <w:proofErr w:type="spellStart"/>
      <w:r w:rsidRPr="00B86877">
        <w:rPr>
          <w:rFonts w:ascii="Arial" w:hAnsi="Arial" w:cs="Arial"/>
          <w:lang w:val="es-CR"/>
        </w:rPr>
        <w:t>Accessed</w:t>
      </w:r>
      <w:proofErr w:type="spellEnd"/>
      <w:r w:rsidRPr="00B86877">
        <w:rPr>
          <w:rFonts w:ascii="Arial" w:hAnsi="Arial" w:cs="Arial"/>
          <w:lang w:val="es-CR"/>
        </w:rPr>
        <w:t xml:space="preserve"> </w:t>
      </w:r>
      <w:proofErr w:type="spellStart"/>
      <w:r w:rsidRPr="00B86877">
        <w:rPr>
          <w:rFonts w:ascii="Arial" w:hAnsi="Arial" w:cs="Arial"/>
          <w:lang w:val="es-CR"/>
        </w:rPr>
        <w:t>August</w:t>
      </w:r>
      <w:proofErr w:type="spellEnd"/>
      <w:r w:rsidRPr="00B86877">
        <w:rPr>
          <w:rFonts w:ascii="Arial" w:hAnsi="Arial" w:cs="Arial"/>
          <w:lang w:val="es-CR"/>
        </w:rPr>
        <w:t xml:space="preserve"> 21, 2016. </w:t>
      </w:r>
      <w:proofErr w:type="spellStart"/>
      <w:r w:rsidRPr="00B86877">
        <w:rPr>
          <w:rFonts w:ascii="Arial" w:hAnsi="Arial" w:cs="Arial"/>
          <w:lang w:val="es-CR"/>
        </w:rPr>
        <w:t>ProQuest</w:t>
      </w:r>
      <w:proofErr w:type="spellEnd"/>
      <w:r w:rsidRPr="00B86877">
        <w:rPr>
          <w:rFonts w:ascii="Arial" w:hAnsi="Arial" w:cs="Arial"/>
          <w:lang w:val="es-CR"/>
        </w:rPr>
        <w:t xml:space="preserve"> </w:t>
      </w:r>
      <w:proofErr w:type="spellStart"/>
      <w:r w:rsidRPr="00B86877">
        <w:rPr>
          <w:rFonts w:ascii="Arial" w:hAnsi="Arial" w:cs="Arial"/>
          <w:lang w:val="es-CR"/>
        </w:rPr>
        <w:t>ebrary</w:t>
      </w:r>
      <w:proofErr w:type="spellEnd"/>
      <w:r w:rsidRPr="00B86877">
        <w:rPr>
          <w:rFonts w:ascii="Arial" w:hAnsi="Arial" w:cs="Arial"/>
          <w:lang w:val="es-CR"/>
        </w:rPr>
        <w:t>.</w:t>
      </w:r>
    </w:p>
    <w:p w:rsidR="00442C2D" w:rsidRPr="00B86877" w:rsidRDefault="00442C2D" w:rsidP="008E0FC5">
      <w:pPr>
        <w:pStyle w:val="Piedepgina"/>
        <w:contextualSpacing/>
        <w:jc w:val="both"/>
        <w:rPr>
          <w:rFonts w:ascii="Arial" w:hAnsi="Arial" w:cs="Arial"/>
          <w:lang w:val="es-CR"/>
        </w:rPr>
      </w:pPr>
    </w:p>
    <w:p w:rsidR="008E0FC5" w:rsidRPr="00B86877" w:rsidRDefault="00B86877" w:rsidP="008E0FC5">
      <w:pPr>
        <w:pStyle w:val="Piedepgina"/>
        <w:contextualSpacing/>
        <w:jc w:val="both"/>
        <w:rPr>
          <w:rFonts w:ascii="Arial" w:hAnsi="Arial" w:cs="Arial"/>
          <w:lang w:val="es-CR"/>
        </w:rPr>
      </w:pPr>
      <w:r w:rsidRPr="00B86877">
        <w:rPr>
          <w:rFonts w:ascii="Arial" w:hAnsi="Arial" w:cs="Arial"/>
          <w:lang w:val="es-CR"/>
        </w:rPr>
        <w:t xml:space="preserve">Valdés Díaz, Caridad del Carmen. De la permuta y otras figuras afines. Madrid, ES: Editorial Reus, 2014. </w:t>
      </w:r>
      <w:proofErr w:type="spellStart"/>
      <w:r w:rsidRPr="00B86877">
        <w:rPr>
          <w:rFonts w:ascii="Arial" w:hAnsi="Arial" w:cs="Arial"/>
          <w:lang w:val="es-CR"/>
        </w:rPr>
        <w:t>Accessed</w:t>
      </w:r>
      <w:proofErr w:type="spellEnd"/>
      <w:r w:rsidRPr="00B86877">
        <w:rPr>
          <w:rFonts w:ascii="Arial" w:hAnsi="Arial" w:cs="Arial"/>
          <w:lang w:val="es-CR"/>
        </w:rPr>
        <w:t xml:space="preserve"> </w:t>
      </w:r>
      <w:proofErr w:type="spellStart"/>
      <w:r w:rsidRPr="00B86877">
        <w:rPr>
          <w:rFonts w:ascii="Arial" w:hAnsi="Arial" w:cs="Arial"/>
          <w:lang w:val="es-CR"/>
        </w:rPr>
        <w:t>August</w:t>
      </w:r>
      <w:proofErr w:type="spellEnd"/>
      <w:r w:rsidRPr="00B86877">
        <w:rPr>
          <w:rFonts w:ascii="Arial" w:hAnsi="Arial" w:cs="Arial"/>
          <w:lang w:val="es-CR"/>
        </w:rPr>
        <w:t xml:space="preserve"> 21, 2016. </w:t>
      </w:r>
      <w:proofErr w:type="spellStart"/>
      <w:r w:rsidRPr="00B86877">
        <w:rPr>
          <w:rFonts w:ascii="Arial" w:hAnsi="Arial" w:cs="Arial"/>
          <w:lang w:val="es-CR"/>
        </w:rPr>
        <w:t>ProQuest</w:t>
      </w:r>
      <w:proofErr w:type="spellEnd"/>
      <w:r w:rsidRPr="00B86877">
        <w:rPr>
          <w:rFonts w:ascii="Arial" w:hAnsi="Arial" w:cs="Arial"/>
          <w:lang w:val="es-CR"/>
        </w:rPr>
        <w:t xml:space="preserve"> </w:t>
      </w:r>
      <w:proofErr w:type="spellStart"/>
      <w:r w:rsidRPr="00B86877">
        <w:rPr>
          <w:rFonts w:ascii="Arial" w:hAnsi="Arial" w:cs="Arial"/>
          <w:lang w:val="es-CR"/>
        </w:rPr>
        <w:t>ebrary</w:t>
      </w:r>
      <w:proofErr w:type="spellEnd"/>
      <w:r w:rsidRPr="00B86877">
        <w:rPr>
          <w:rFonts w:ascii="Arial" w:hAnsi="Arial" w:cs="Arial"/>
          <w:lang w:val="es-CR"/>
        </w:rPr>
        <w:t>.</w:t>
      </w:r>
    </w:p>
    <w:p w:rsidR="008E0FC5" w:rsidRPr="00B86877" w:rsidRDefault="008E0FC5" w:rsidP="00E55265">
      <w:pPr>
        <w:pStyle w:val="Piedepgina"/>
        <w:contextualSpacing/>
        <w:jc w:val="both"/>
        <w:rPr>
          <w:rFonts w:ascii="Arial" w:hAnsi="Arial" w:cs="Arial"/>
          <w:b/>
          <w:lang w:val="es-CR"/>
        </w:rPr>
      </w:pPr>
    </w:p>
    <w:p w:rsidR="000F75B9" w:rsidRDefault="00BA151C" w:rsidP="00E55265">
      <w:pPr>
        <w:pStyle w:val="Piedepgina"/>
        <w:contextualSpacing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C).-</w:t>
      </w:r>
      <w:proofErr w:type="gramEnd"/>
      <w:r>
        <w:rPr>
          <w:rFonts w:ascii="Arial" w:hAnsi="Arial" w:cs="Arial"/>
          <w:b/>
        </w:rPr>
        <w:t xml:space="preserve"> </w:t>
      </w:r>
      <w:r w:rsidR="000F75B9">
        <w:rPr>
          <w:rFonts w:ascii="Arial" w:hAnsi="Arial" w:cs="Arial"/>
          <w:b/>
        </w:rPr>
        <w:t>Artículos de revista</w:t>
      </w:r>
    </w:p>
    <w:p w:rsidR="000F75B9" w:rsidRDefault="000F75B9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0F75B9" w:rsidRPr="000F75B9" w:rsidRDefault="000F75B9" w:rsidP="00E55265">
      <w:pPr>
        <w:pStyle w:val="Piedepgina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Gutiérrez, Alfonso. 2011. Las sociedades pueden donar. Revista Judicial Costa Rica 101: </w:t>
      </w:r>
      <w:r w:rsidR="00B86877">
        <w:rPr>
          <w:rFonts w:ascii="Arial" w:hAnsi="Arial" w:cs="Arial"/>
        </w:rPr>
        <w:t>85-90.</w:t>
      </w:r>
    </w:p>
    <w:p w:rsidR="000F75B9" w:rsidRDefault="000F75B9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A1018B" w:rsidRPr="000F75B9" w:rsidRDefault="00A1018B" w:rsidP="00A1018B">
      <w:pPr>
        <w:pStyle w:val="Piedepgina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Casafont</w:t>
      </w:r>
      <w:proofErr w:type="spellEnd"/>
      <w:r>
        <w:rPr>
          <w:rFonts w:ascii="Arial" w:hAnsi="Arial" w:cs="Arial"/>
        </w:rPr>
        <w:t>, Pablo. 1966. La acción resolutoria y la excepción de contrato no cumplido en la legislación costarricense. Revista de Ciencias Jurídicas 7: 13-78.</w:t>
      </w:r>
    </w:p>
    <w:p w:rsidR="00A1018B" w:rsidRDefault="00A1018B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304B3D" w:rsidRPr="00E55265" w:rsidRDefault="000F75B9" w:rsidP="00E55265">
      <w:pPr>
        <w:pStyle w:val="Piedepgina"/>
        <w:contextualSpacing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D).-</w:t>
      </w:r>
      <w:proofErr w:type="gramEnd"/>
      <w:r>
        <w:rPr>
          <w:rFonts w:ascii="Arial" w:hAnsi="Arial" w:cs="Arial"/>
          <w:b/>
        </w:rPr>
        <w:t xml:space="preserve"> </w:t>
      </w:r>
      <w:r w:rsidR="00304B3D" w:rsidRPr="00E55265">
        <w:rPr>
          <w:rFonts w:ascii="Arial" w:hAnsi="Arial" w:cs="Arial"/>
          <w:b/>
        </w:rPr>
        <w:t>Normativa</w:t>
      </w:r>
    </w:p>
    <w:p w:rsidR="00304B3D" w:rsidRPr="00E55265" w:rsidRDefault="00304B3D" w:rsidP="00E55265">
      <w:pPr>
        <w:pStyle w:val="Piedepgina"/>
        <w:contextualSpacing/>
        <w:jc w:val="both"/>
        <w:rPr>
          <w:rFonts w:ascii="Arial" w:hAnsi="Arial" w:cs="Arial"/>
          <w:b/>
        </w:rPr>
      </w:pPr>
    </w:p>
    <w:p w:rsidR="00304B3D" w:rsidRPr="00E55265" w:rsidRDefault="00304B3D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Constitución Política</w:t>
      </w:r>
    </w:p>
    <w:p w:rsidR="00304B3D" w:rsidRPr="00E55265" w:rsidRDefault="00304B3D" w:rsidP="00E55265">
      <w:pPr>
        <w:pStyle w:val="Piedepgina"/>
        <w:contextualSpacing/>
        <w:jc w:val="both"/>
        <w:rPr>
          <w:rFonts w:ascii="Arial" w:hAnsi="Arial" w:cs="Arial"/>
        </w:rPr>
      </w:pP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Leyes: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Código Civil.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Código de Comercio.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Ley de Arrendamientos Urbanos y Suburbanos.</w:t>
      </w:r>
    </w:p>
    <w:p w:rsidR="007557C0" w:rsidRPr="00E55265" w:rsidRDefault="007557C0" w:rsidP="00E55265">
      <w:pPr>
        <w:pStyle w:val="Piedepgina"/>
        <w:contextualSpacing/>
        <w:jc w:val="both"/>
        <w:rPr>
          <w:rFonts w:ascii="Arial" w:hAnsi="Arial" w:cs="Arial"/>
        </w:rPr>
      </w:pPr>
      <w:r w:rsidRPr="00E55265">
        <w:rPr>
          <w:rFonts w:ascii="Arial" w:hAnsi="Arial" w:cs="Arial"/>
        </w:rPr>
        <w:t>Ley de la Promoción y Defensa Efectiva del Consumidor.</w:t>
      </w:r>
    </w:p>
    <w:p w:rsidR="00323EEF" w:rsidRDefault="00323EEF" w:rsidP="00E55265">
      <w:pPr>
        <w:contextualSpacing/>
        <w:rPr>
          <w:rFonts w:ascii="Arial" w:hAnsi="Arial" w:cs="Arial"/>
        </w:rPr>
      </w:pPr>
    </w:p>
    <w:p w:rsidR="00682E62" w:rsidRDefault="00682E62" w:rsidP="00E55265">
      <w:pPr>
        <w:contextualSpacing/>
        <w:rPr>
          <w:rFonts w:ascii="Arial" w:hAnsi="Arial" w:cs="Arial"/>
        </w:rPr>
      </w:pPr>
    </w:p>
    <w:p w:rsidR="00323EEF" w:rsidRPr="00E55265" w:rsidRDefault="00323EEF" w:rsidP="00E55265">
      <w:pPr>
        <w:contextualSpacing/>
        <w:rPr>
          <w:rFonts w:ascii="Arial" w:hAnsi="Arial" w:cs="Arial"/>
        </w:rPr>
      </w:pPr>
      <w:r w:rsidRPr="00E55265">
        <w:rPr>
          <w:rFonts w:ascii="Arial" w:hAnsi="Arial" w:cs="Arial"/>
          <w:b/>
        </w:rPr>
        <w:lastRenderedPageBreak/>
        <w:t>III. CRONOGRAMA</w:t>
      </w:r>
    </w:p>
    <w:p w:rsidR="003420D2" w:rsidRPr="00E55265" w:rsidRDefault="003420D2" w:rsidP="00E55265">
      <w:pPr>
        <w:contextualSpacing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4729"/>
        <w:gridCol w:w="2552"/>
      </w:tblGrid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E55265">
              <w:rPr>
                <w:rFonts w:ascii="Arial" w:hAnsi="Arial" w:cs="Arial"/>
                <w:b/>
                <w:bCs/>
              </w:rPr>
              <w:t>Sesión</w:t>
            </w:r>
          </w:p>
        </w:tc>
        <w:tc>
          <w:tcPr>
            <w:tcW w:w="4819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E55265">
              <w:rPr>
                <w:rFonts w:ascii="Arial" w:hAnsi="Arial" w:cs="Arial"/>
                <w:b/>
                <w:bCs/>
              </w:rPr>
              <w:t>Tema</w:t>
            </w:r>
            <w:r w:rsidR="007C70A4" w:rsidRPr="00E55265">
              <w:rPr>
                <w:rFonts w:ascii="Arial" w:hAnsi="Arial" w:cs="Arial"/>
                <w:b/>
                <w:bCs/>
              </w:rPr>
              <w:t>/Actividad</w:t>
            </w:r>
          </w:p>
        </w:tc>
        <w:tc>
          <w:tcPr>
            <w:tcW w:w="2588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E55265">
              <w:rPr>
                <w:rFonts w:ascii="Arial" w:hAnsi="Arial" w:cs="Arial"/>
                <w:b/>
                <w:bCs/>
              </w:rPr>
              <w:t>Modalidad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08 de agosto</w:t>
            </w:r>
          </w:p>
        </w:tc>
        <w:tc>
          <w:tcPr>
            <w:tcW w:w="4819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Introducción del curso</w:t>
            </w:r>
          </w:p>
          <w:p w:rsidR="003420D2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Conceptos básicos de estrategias</w:t>
            </w:r>
          </w:p>
          <w:p w:rsidR="00D865CF" w:rsidRPr="00E55265" w:rsidRDefault="00D865CF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15 de agosto</w:t>
            </w:r>
          </w:p>
        </w:tc>
        <w:tc>
          <w:tcPr>
            <w:tcW w:w="4819" w:type="dxa"/>
          </w:tcPr>
          <w:p w:rsidR="003420D2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Feriado del Día de la Madre</w:t>
            </w:r>
          </w:p>
          <w:p w:rsidR="00D865CF" w:rsidRPr="00E55265" w:rsidRDefault="00D865CF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No aplica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22 de agosto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Vicios en el consentimiento</w:t>
            </w:r>
          </w:p>
          <w:p w:rsidR="00AC0909" w:rsidRDefault="00AC0909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AC0909" w:rsidRDefault="00AC0909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AC0909" w:rsidRDefault="00AC0909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65-86.</w:t>
            </w:r>
          </w:p>
          <w:p w:rsidR="00AC0909" w:rsidRDefault="00AC0909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Torrealba, 2009: 241-290.</w:t>
            </w:r>
          </w:p>
          <w:p w:rsidR="00AC0909" w:rsidRPr="00E55265" w:rsidRDefault="00AC0909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29 de agosto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  <w:bCs/>
              </w:rPr>
              <w:t xml:space="preserve">Figuras doctrinales </w:t>
            </w:r>
            <w:r w:rsidRPr="00E55265">
              <w:rPr>
                <w:rFonts w:ascii="Arial" w:hAnsi="Arial" w:cs="Arial"/>
              </w:rPr>
              <w:t>y legales que inciden en la eficacia contractual</w:t>
            </w:r>
          </w:p>
          <w:p w:rsidR="00AC0909" w:rsidRDefault="00AC0909" w:rsidP="00E55265">
            <w:pPr>
              <w:contextualSpacing/>
              <w:jc w:val="both"/>
              <w:rPr>
                <w:rFonts w:ascii="Arial" w:hAnsi="Arial" w:cs="Arial"/>
              </w:rPr>
            </w:pPr>
          </w:p>
          <w:p w:rsidR="00AC0909" w:rsidRDefault="00AC0909" w:rsidP="00AC0909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AC0909" w:rsidRDefault="00AC0909" w:rsidP="00AC0909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Baudrid</w:t>
            </w:r>
            <w:proofErr w:type="spellEnd"/>
            <w:r>
              <w:rPr>
                <w:rFonts w:ascii="Arial" w:hAnsi="Arial" w:cs="Arial"/>
                <w:bCs/>
              </w:rPr>
              <w:t>, 2000: 19-22</w:t>
            </w:r>
            <w:r w:rsidR="00725EFB">
              <w:rPr>
                <w:rFonts w:ascii="Arial" w:hAnsi="Arial" w:cs="Arial"/>
                <w:bCs/>
              </w:rPr>
              <w:t>.</w:t>
            </w:r>
          </w:p>
          <w:p w:rsidR="00AC0909" w:rsidRDefault="00AC0909" w:rsidP="00AC0909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Torrealba, 2009: 429-458.</w:t>
            </w:r>
          </w:p>
          <w:p w:rsidR="001C73B4" w:rsidRDefault="001C73B4" w:rsidP="00AC090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>La validez, ineficacia y nulidad del contrato</w:t>
            </w:r>
            <w:r>
              <w:rPr>
                <w:rFonts w:ascii="Arial" w:hAnsi="Arial" w:cs="Arial"/>
              </w:rPr>
              <w:t>.</w:t>
            </w:r>
          </w:p>
          <w:p w:rsidR="001C73B4" w:rsidRDefault="001C73B4" w:rsidP="00AC090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La rescisión y el incumplimiento contractual.</w:t>
            </w:r>
          </w:p>
          <w:p w:rsidR="00D865CF" w:rsidRDefault="00D865CF" w:rsidP="00AC0909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Jurisprudencia sobre la rescisión de la venta como derecho del consumidor.</w:t>
            </w:r>
          </w:p>
          <w:p w:rsidR="00AC0909" w:rsidRPr="00E55265" w:rsidRDefault="00AC0909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F16BBE" w:rsidP="00F16BBE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</w:t>
            </w:r>
            <w:r w:rsidR="007C70A4" w:rsidRPr="00E55265">
              <w:rPr>
                <w:rFonts w:ascii="Arial" w:hAnsi="Arial" w:cs="Arial"/>
                <w:bCs/>
              </w:rPr>
              <w:t>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05 de setiembre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Fuerza Obligatoria del Contrato entre las Partes.</w:t>
            </w:r>
          </w:p>
          <w:p w:rsidR="00725EFB" w:rsidRDefault="00725EF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Baudrid</w:t>
            </w:r>
            <w:proofErr w:type="spellEnd"/>
            <w:r>
              <w:rPr>
                <w:rFonts w:ascii="Arial" w:hAnsi="Arial" w:cs="Arial"/>
                <w:bCs/>
              </w:rPr>
              <w:t>, 2000: 64-76.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99-103.</w:t>
            </w:r>
          </w:p>
          <w:p w:rsidR="00682E62" w:rsidRDefault="00682E62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>Vicios ocultos y acción redhibitoria.</w:t>
            </w:r>
          </w:p>
          <w:p w:rsidR="001C73B4" w:rsidRDefault="001C73B4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CIJUL: La garantía de evicción.</w:t>
            </w:r>
          </w:p>
          <w:p w:rsidR="006C0864" w:rsidRDefault="006C0864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 xml:space="preserve">La garantía en el Código Civil. </w:t>
            </w:r>
          </w:p>
          <w:p w:rsidR="00725EFB" w:rsidRPr="00E55265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Asincrónica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lastRenderedPageBreak/>
              <w:t>12 de setiembre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</w:rPr>
              <w:t xml:space="preserve">Terceros involucrados </w:t>
            </w:r>
            <w:r w:rsidRPr="00E55265">
              <w:rPr>
                <w:rFonts w:ascii="Arial" w:hAnsi="Arial" w:cs="Arial"/>
                <w:bCs/>
              </w:rPr>
              <w:t>forzosamente y voluntariamente en el contrato. Efectos</w:t>
            </w:r>
            <w:r w:rsidR="00725EFB">
              <w:rPr>
                <w:rFonts w:ascii="Arial" w:hAnsi="Arial" w:cs="Arial"/>
                <w:bCs/>
              </w:rPr>
              <w:t>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Baudrid</w:t>
            </w:r>
            <w:proofErr w:type="spellEnd"/>
            <w:r>
              <w:rPr>
                <w:rFonts w:ascii="Arial" w:hAnsi="Arial" w:cs="Arial"/>
                <w:bCs/>
              </w:rPr>
              <w:t>, 2000: 77-90.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87-98.</w:t>
            </w:r>
          </w:p>
          <w:p w:rsidR="001C73B4" w:rsidRDefault="001C73B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CIJUL: Efectos contractuales respecto a terceros.</w:t>
            </w:r>
          </w:p>
          <w:p w:rsidR="001C73B4" w:rsidRPr="00E55265" w:rsidRDefault="001C73B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19 de setiembre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</w:rPr>
              <w:t>Incumplimiento contractual</w:t>
            </w:r>
            <w:r w:rsidR="007C70A4" w:rsidRPr="00E55265">
              <w:rPr>
                <w:rFonts w:ascii="Arial" w:hAnsi="Arial" w:cs="Arial"/>
              </w:rPr>
              <w:t>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Baudrid</w:t>
            </w:r>
            <w:proofErr w:type="spellEnd"/>
            <w:r>
              <w:rPr>
                <w:rFonts w:ascii="Arial" w:hAnsi="Arial" w:cs="Arial"/>
                <w:bCs/>
              </w:rPr>
              <w:t>, 2000: 91-106.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106-112.</w:t>
            </w:r>
          </w:p>
          <w:p w:rsidR="001C73B4" w:rsidRDefault="001C73B4" w:rsidP="00725EF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>La indexación.</w:t>
            </w:r>
          </w:p>
          <w:p w:rsidR="00D865CF" w:rsidRDefault="00D865CF" w:rsidP="00725EF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Intereses corrientes y moratorios.</w:t>
            </w:r>
          </w:p>
          <w:p w:rsidR="00682E62" w:rsidRDefault="00682E62" w:rsidP="00725EF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Sobre el daño moral y los vicios ocultos.</w:t>
            </w:r>
          </w:p>
          <w:p w:rsidR="00D865CF" w:rsidRDefault="00D865CF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Casafont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1966:</w:t>
            </w:r>
            <w:r>
              <w:rPr>
                <w:rFonts w:ascii="Arial" w:hAnsi="Arial" w:cs="Arial"/>
              </w:rPr>
              <w:t xml:space="preserve"> La acción resolutoria y la excepción de contrato no cumplido en la legislación costarricense.</w:t>
            </w:r>
          </w:p>
          <w:p w:rsidR="00725EFB" w:rsidRPr="00E55265" w:rsidRDefault="00725EF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26 de setiembre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Interpretación y revisión Judicial de los Contratos.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Baudrid</w:t>
            </w:r>
            <w:proofErr w:type="spellEnd"/>
            <w:r>
              <w:rPr>
                <w:rFonts w:ascii="Arial" w:hAnsi="Arial" w:cs="Arial"/>
                <w:bCs/>
              </w:rPr>
              <w:t>, 2000: 107-116.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377-382.</w:t>
            </w:r>
          </w:p>
          <w:p w:rsidR="001C73B4" w:rsidRDefault="001C73B4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CIJUL: Excesiva onerosidad.</w:t>
            </w:r>
          </w:p>
          <w:p w:rsidR="001C73B4" w:rsidRDefault="001C73B4" w:rsidP="00725EF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>Precio ruinoso y excesiva onerosidad sobreviniente en la contratación.</w:t>
            </w:r>
          </w:p>
          <w:p w:rsidR="00682E62" w:rsidRDefault="00682E62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Teoría de la imprevisión contractual.</w:t>
            </w:r>
          </w:p>
          <w:p w:rsidR="00725EFB" w:rsidRPr="00E55265" w:rsidRDefault="00725EF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Asincrónica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03 de octubre</w:t>
            </w:r>
          </w:p>
        </w:tc>
        <w:tc>
          <w:tcPr>
            <w:tcW w:w="4819" w:type="dxa"/>
          </w:tcPr>
          <w:p w:rsidR="003420D2" w:rsidRDefault="004D024B" w:rsidP="00E55265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 w:rsidRPr="00E55265">
              <w:rPr>
                <w:rFonts w:ascii="Arial" w:hAnsi="Arial" w:cs="Arial"/>
                <w:bCs/>
              </w:rPr>
              <w:t xml:space="preserve">Contratos traslativos. </w:t>
            </w:r>
            <w:r w:rsidRPr="00E55265">
              <w:rPr>
                <w:rFonts w:ascii="Arial" w:hAnsi="Arial" w:cs="Arial"/>
              </w:rPr>
              <w:t>La compraventa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Brenes, 1992: 131-166.</w:t>
            </w:r>
          </w:p>
          <w:p w:rsidR="002B3763" w:rsidRDefault="002B3763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Paris, 1991: 17-130.</w:t>
            </w:r>
          </w:p>
          <w:p w:rsidR="001C73B4" w:rsidRDefault="001C73B4" w:rsidP="00725EF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El incumplimiento en el contrato de compraventa.</w:t>
            </w:r>
          </w:p>
          <w:p w:rsidR="001C73B4" w:rsidRDefault="001C73B4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La compraven</w:t>
            </w:r>
            <w:r>
              <w:rPr>
                <w:rFonts w:ascii="Arial" w:hAnsi="Arial" w:cs="Arial"/>
              </w:rPr>
              <w:t xml:space="preserve">ta agraria. </w:t>
            </w:r>
          </w:p>
          <w:p w:rsidR="00725EFB" w:rsidRPr="00E55265" w:rsidRDefault="00725EFB" w:rsidP="00E55265">
            <w:pPr>
              <w:pStyle w:val="Piedepgina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F16BBE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</w:t>
            </w:r>
            <w:r w:rsidR="007C70A4" w:rsidRPr="00E55265">
              <w:rPr>
                <w:rFonts w:ascii="Arial" w:hAnsi="Arial" w:cs="Arial"/>
                <w:bCs/>
              </w:rPr>
              <w:t>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10 de octubre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</w:rPr>
              <w:t>La donación y l</w:t>
            </w:r>
            <w:r w:rsidRPr="00E55265">
              <w:rPr>
                <w:rFonts w:ascii="Arial" w:hAnsi="Arial" w:cs="Arial"/>
                <w:bCs/>
              </w:rPr>
              <w:t>a permuta.</w:t>
            </w:r>
          </w:p>
          <w:p w:rsidR="00725EFB" w:rsidRDefault="00725EF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2B3763" w:rsidRDefault="00D865CF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Albaladejo</w:t>
            </w:r>
            <w:proofErr w:type="spellEnd"/>
            <w:r w:rsidR="002B3763">
              <w:rPr>
                <w:rFonts w:ascii="Arial" w:hAnsi="Arial" w:cs="Arial"/>
                <w:bCs/>
              </w:rPr>
              <w:t>: 165-</w:t>
            </w:r>
            <w:r w:rsidR="006818C8">
              <w:rPr>
                <w:rFonts w:ascii="Arial" w:hAnsi="Arial" w:cs="Arial"/>
                <w:bCs/>
              </w:rPr>
              <w:t>187.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167-168 y 353-365.</w:t>
            </w:r>
          </w:p>
          <w:p w:rsidR="00D865CF" w:rsidRDefault="00D865CF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Gutiérrez, 20</w:t>
            </w:r>
            <w:r>
              <w:rPr>
                <w:rFonts w:ascii="Arial" w:hAnsi="Arial" w:cs="Arial"/>
              </w:rPr>
              <w:t>11. Las sociedades pueden donar.</w:t>
            </w:r>
          </w:p>
          <w:p w:rsidR="00725EFB" w:rsidRPr="00E55265" w:rsidRDefault="00725EF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Asincrónica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17 de octubre</w:t>
            </w:r>
          </w:p>
        </w:tc>
        <w:tc>
          <w:tcPr>
            <w:tcW w:w="4819" w:type="dxa"/>
          </w:tcPr>
          <w:p w:rsidR="003420D2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La cesión.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725EFB" w:rsidRDefault="00725EFB" w:rsidP="00725EF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169-188.</w:t>
            </w:r>
          </w:p>
          <w:p w:rsidR="002B3763" w:rsidRDefault="002B3763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Paris, 1991: 131-180.</w:t>
            </w:r>
          </w:p>
          <w:p w:rsidR="00725EFB" w:rsidRPr="00E55265" w:rsidRDefault="00725EF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1B008B" w:rsidP="001B008B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</w:t>
            </w:r>
            <w:r w:rsidR="007C70A4" w:rsidRPr="00E55265">
              <w:rPr>
                <w:rFonts w:ascii="Arial" w:hAnsi="Arial" w:cs="Arial"/>
                <w:bCs/>
              </w:rPr>
              <w:t>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24 de octubre</w:t>
            </w:r>
          </w:p>
        </w:tc>
        <w:tc>
          <w:tcPr>
            <w:tcW w:w="4819" w:type="dxa"/>
          </w:tcPr>
          <w:p w:rsidR="003420D2" w:rsidRDefault="004D024B" w:rsidP="00E55265">
            <w:pPr>
              <w:pStyle w:val="Piedepgina"/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 xml:space="preserve">Contratos de utilización. </w:t>
            </w:r>
            <w:r w:rsidR="007C70A4" w:rsidRPr="00E55265">
              <w:rPr>
                <w:rFonts w:ascii="Arial" w:hAnsi="Arial" w:cs="Arial"/>
                <w:bCs/>
              </w:rPr>
              <w:t>El arrendamiento</w:t>
            </w:r>
            <w:r w:rsidR="007C70A4" w:rsidRPr="00E55265">
              <w:rPr>
                <w:rFonts w:ascii="Arial" w:hAnsi="Arial" w:cs="Arial"/>
              </w:rPr>
              <w:t xml:space="preserve"> </w:t>
            </w:r>
            <w:r w:rsidR="007C70A4" w:rsidRPr="00E55265">
              <w:rPr>
                <w:rFonts w:ascii="Arial" w:hAnsi="Arial" w:cs="Arial"/>
                <w:bCs/>
              </w:rPr>
              <w:t>El inquilinato. El préstamo de dinero.</w:t>
            </w:r>
          </w:p>
          <w:p w:rsidR="002B3763" w:rsidRDefault="002B3763" w:rsidP="00E55265">
            <w:pPr>
              <w:pStyle w:val="Piedepgina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B3763" w:rsidRDefault="002B3763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2B3763" w:rsidRDefault="002B3763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189-228.</w:t>
            </w:r>
          </w:p>
          <w:p w:rsidR="002B3763" w:rsidRDefault="002B3763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Paris, 1991: 181-276.</w:t>
            </w:r>
          </w:p>
          <w:p w:rsidR="002B3763" w:rsidRDefault="001C73B4" w:rsidP="002B376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Jurisprudencia sobre el desahucio por incumplimiento contractual.</w:t>
            </w:r>
          </w:p>
          <w:p w:rsidR="001C73B4" w:rsidRDefault="001C73B4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Elementos del contrato de arrendamiento.</w:t>
            </w:r>
          </w:p>
          <w:p w:rsidR="002B3763" w:rsidRDefault="001C73B4" w:rsidP="00E55265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>El reajuste del precio en el arriendo de bienes inmuebles no destinados a la vivienda.</w:t>
            </w:r>
          </w:p>
          <w:p w:rsidR="001C73B4" w:rsidRDefault="00D865CF" w:rsidP="00E55265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 w:rsidR="001C73B4">
              <w:rPr>
                <w:rFonts w:ascii="Arial" w:hAnsi="Arial" w:cs="Arial"/>
              </w:rPr>
              <w:t>Jurisprudencia sobre la prescripción en el contrato de arrendamiento</w:t>
            </w:r>
            <w:r>
              <w:rPr>
                <w:rFonts w:ascii="Arial" w:hAnsi="Arial" w:cs="Arial"/>
              </w:rPr>
              <w:t>.</w:t>
            </w:r>
          </w:p>
          <w:p w:rsidR="00D865CF" w:rsidRDefault="00D865CF" w:rsidP="00D865CF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 xml:space="preserve">La cesión del contrato de arrendamiento. </w:t>
            </w: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 xml:space="preserve">Molestias </w:t>
            </w:r>
            <w:r>
              <w:rPr>
                <w:rFonts w:ascii="Arial" w:hAnsi="Arial" w:cs="Arial"/>
              </w:rPr>
              <w:lastRenderedPageBreak/>
              <w:t>causadas por las reparaciones del bien en el contrato de arrendamiento.</w:t>
            </w:r>
          </w:p>
          <w:p w:rsidR="00D865CF" w:rsidRDefault="00D865CF" w:rsidP="00D865CF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 xml:space="preserve">Jurisprudencia sobre el incumplimiento en el contrato de arrendamiento. </w:t>
            </w:r>
          </w:p>
          <w:p w:rsidR="00D865CF" w:rsidRDefault="00D865CF" w:rsidP="00D865CF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La terminación del contrato de arrendamiento.</w:t>
            </w:r>
          </w:p>
          <w:p w:rsidR="00D865CF" w:rsidRDefault="00D865CF" w:rsidP="00D865CF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Subrogación en el contrato de arrendamiento por muerte del arrendatario.</w:t>
            </w:r>
          </w:p>
          <w:p w:rsidR="00D865CF" w:rsidRDefault="00D865CF" w:rsidP="00D865CF">
            <w:pPr>
              <w:pStyle w:val="Piedepgina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CIJUL:</w:t>
            </w:r>
            <w:r>
              <w:rPr>
                <w:rFonts w:ascii="Arial" w:hAnsi="Arial" w:cs="Arial"/>
              </w:rPr>
              <w:t xml:space="preserve"> El reajuste de precio en el contrato de arrendamiento de vivienda.</w:t>
            </w:r>
          </w:p>
          <w:p w:rsidR="00D865CF" w:rsidRPr="00E55265" w:rsidRDefault="00D865CF" w:rsidP="00D865CF">
            <w:pPr>
              <w:pStyle w:val="Piedepgina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lastRenderedPageBreak/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31 de octubre</w:t>
            </w:r>
          </w:p>
        </w:tc>
        <w:tc>
          <w:tcPr>
            <w:tcW w:w="4819" w:type="dxa"/>
          </w:tcPr>
          <w:p w:rsidR="003420D2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Contratos de cooperación. El mandato. La fianza. El préstamo.</w:t>
            </w:r>
          </w:p>
          <w:p w:rsidR="002B3763" w:rsidRDefault="002B3763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B3763" w:rsidRDefault="002B3763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Lecturas:</w:t>
            </w:r>
          </w:p>
          <w:p w:rsidR="002B3763" w:rsidRDefault="002B3763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Brenes, 1992: 269-328.</w:t>
            </w:r>
          </w:p>
          <w:p w:rsidR="001C73B4" w:rsidRDefault="001C73B4" w:rsidP="002B376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CIJUL: </w:t>
            </w:r>
            <w:r>
              <w:rPr>
                <w:rFonts w:ascii="Arial" w:hAnsi="Arial" w:cs="Arial"/>
              </w:rPr>
              <w:t>Doctrina sobre el mandato.</w:t>
            </w:r>
          </w:p>
          <w:p w:rsidR="001C73B4" w:rsidRDefault="001C73B4" w:rsidP="002B376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CIJUL: </w:t>
            </w:r>
            <w:r>
              <w:rPr>
                <w:rFonts w:ascii="Arial" w:hAnsi="Arial" w:cs="Arial"/>
              </w:rPr>
              <w:t>El poder especialísimo.</w:t>
            </w:r>
          </w:p>
          <w:p w:rsidR="002B3763" w:rsidRPr="00E55265" w:rsidRDefault="002B3763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Asincrónica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07 de noviembre</w:t>
            </w:r>
          </w:p>
        </w:tc>
        <w:tc>
          <w:tcPr>
            <w:tcW w:w="4819" w:type="dxa"/>
          </w:tcPr>
          <w:p w:rsidR="003420D2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Examen.</w:t>
            </w:r>
          </w:p>
          <w:p w:rsidR="00F16BBE" w:rsidRPr="00E55265" w:rsidRDefault="00F16BBE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3420D2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14 de noviembre</w:t>
            </w:r>
          </w:p>
        </w:tc>
        <w:tc>
          <w:tcPr>
            <w:tcW w:w="4819" w:type="dxa"/>
          </w:tcPr>
          <w:p w:rsidR="003420D2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Exposiciones trabajos de investigación.</w:t>
            </w:r>
          </w:p>
          <w:p w:rsidR="00F16BBE" w:rsidRPr="00E55265" w:rsidRDefault="00F16BBE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21 de noviembre</w:t>
            </w:r>
          </w:p>
        </w:tc>
        <w:tc>
          <w:tcPr>
            <w:tcW w:w="4819" w:type="dxa"/>
          </w:tcPr>
          <w:p w:rsidR="003420D2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Exposiciones trabajos de investigación.</w:t>
            </w:r>
          </w:p>
          <w:p w:rsidR="00F16BBE" w:rsidRPr="00E55265" w:rsidRDefault="00F16BBE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  <w:tr w:rsidR="003420D2" w:rsidRPr="00E55265" w:rsidTr="003420D2">
        <w:tc>
          <w:tcPr>
            <w:tcW w:w="2093" w:type="dxa"/>
          </w:tcPr>
          <w:p w:rsidR="003420D2" w:rsidRPr="00E55265" w:rsidRDefault="004D024B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28 de noviembre</w:t>
            </w:r>
          </w:p>
        </w:tc>
        <w:tc>
          <w:tcPr>
            <w:tcW w:w="4819" w:type="dxa"/>
          </w:tcPr>
          <w:p w:rsidR="003420D2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Nuevas fronteras del Derecho Contractual</w:t>
            </w:r>
            <w:r w:rsidR="00F16BBE">
              <w:rPr>
                <w:rFonts w:ascii="Arial" w:hAnsi="Arial" w:cs="Arial"/>
                <w:bCs/>
              </w:rPr>
              <w:t>.</w:t>
            </w:r>
          </w:p>
          <w:p w:rsidR="00F16BBE" w:rsidRPr="00E55265" w:rsidRDefault="00F16BBE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</w:tcPr>
          <w:p w:rsidR="003420D2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Asincrónica</w:t>
            </w:r>
          </w:p>
        </w:tc>
      </w:tr>
      <w:tr w:rsidR="007C70A4" w:rsidRPr="00E55265" w:rsidTr="003420D2">
        <w:tc>
          <w:tcPr>
            <w:tcW w:w="2093" w:type="dxa"/>
          </w:tcPr>
          <w:p w:rsidR="007C70A4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12 de diciembre</w:t>
            </w:r>
          </w:p>
        </w:tc>
        <w:tc>
          <w:tcPr>
            <w:tcW w:w="4819" w:type="dxa"/>
          </w:tcPr>
          <w:p w:rsidR="007C70A4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Examen de ampliación</w:t>
            </w:r>
            <w:r w:rsidR="00F16BBE">
              <w:rPr>
                <w:rFonts w:ascii="Arial" w:hAnsi="Arial" w:cs="Arial"/>
                <w:bCs/>
              </w:rPr>
              <w:t>.</w:t>
            </w:r>
          </w:p>
          <w:p w:rsidR="00F16BBE" w:rsidRPr="00E55265" w:rsidRDefault="00F16BBE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588" w:type="dxa"/>
          </w:tcPr>
          <w:p w:rsidR="007C70A4" w:rsidRPr="00E55265" w:rsidRDefault="007C70A4" w:rsidP="00E55265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E55265">
              <w:rPr>
                <w:rFonts w:ascii="Arial" w:hAnsi="Arial" w:cs="Arial"/>
                <w:bCs/>
              </w:rPr>
              <w:t>Sincrónica</w:t>
            </w:r>
          </w:p>
        </w:tc>
      </w:tr>
    </w:tbl>
    <w:p w:rsidR="003420D2" w:rsidRPr="00E55265" w:rsidRDefault="003420D2" w:rsidP="00E55265">
      <w:pPr>
        <w:contextualSpacing/>
        <w:jc w:val="both"/>
        <w:rPr>
          <w:rFonts w:ascii="Arial" w:hAnsi="Arial" w:cs="Arial"/>
          <w:b/>
          <w:bCs/>
        </w:rPr>
      </w:pPr>
    </w:p>
    <w:p w:rsidR="003420D2" w:rsidRPr="00E55265" w:rsidRDefault="003420D2" w:rsidP="00E55265">
      <w:pPr>
        <w:contextualSpacing/>
        <w:jc w:val="both"/>
        <w:rPr>
          <w:rFonts w:ascii="Arial" w:hAnsi="Arial" w:cs="Arial"/>
          <w:b/>
          <w:bCs/>
        </w:rPr>
      </w:pPr>
    </w:p>
    <w:p w:rsidR="003420D2" w:rsidRPr="00E55265" w:rsidRDefault="003420D2" w:rsidP="00E55265">
      <w:pPr>
        <w:contextualSpacing/>
        <w:jc w:val="both"/>
        <w:rPr>
          <w:rFonts w:ascii="Arial" w:hAnsi="Arial" w:cs="Arial"/>
          <w:b/>
          <w:bCs/>
        </w:rPr>
      </w:pPr>
    </w:p>
    <w:p w:rsidR="003420D2" w:rsidRPr="00E55265" w:rsidRDefault="003420D2" w:rsidP="00E55265">
      <w:pPr>
        <w:contextualSpacing/>
        <w:jc w:val="both"/>
        <w:rPr>
          <w:rFonts w:ascii="Arial" w:hAnsi="Arial" w:cs="Arial"/>
          <w:b/>
          <w:bCs/>
        </w:rPr>
      </w:pPr>
    </w:p>
    <w:p w:rsidR="003420D2" w:rsidRPr="00E55265" w:rsidRDefault="003420D2" w:rsidP="00E55265">
      <w:pPr>
        <w:contextualSpacing/>
        <w:jc w:val="both"/>
        <w:rPr>
          <w:rFonts w:ascii="Arial" w:hAnsi="Arial" w:cs="Arial"/>
          <w:b/>
          <w:bCs/>
        </w:rPr>
      </w:pPr>
    </w:p>
    <w:sectPr w:rsidR="003420D2" w:rsidRPr="00E55265" w:rsidSect="00123D9A">
      <w:headerReference w:type="even" r:id="rId8"/>
      <w:headerReference w:type="default" r:id="rId9"/>
      <w:headerReference w:type="first" r:id="rId10"/>
      <w:pgSz w:w="12240" w:h="15840"/>
      <w:pgMar w:top="1497" w:right="1440" w:bottom="1440" w:left="144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FB" w:rsidRDefault="00725EFB">
      <w:r>
        <w:separator/>
      </w:r>
    </w:p>
  </w:endnote>
  <w:endnote w:type="continuationSeparator" w:id="0">
    <w:p w:rsidR="00725EFB" w:rsidRDefault="0072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FB" w:rsidRDefault="00725EFB">
      <w:r>
        <w:separator/>
      </w:r>
    </w:p>
  </w:footnote>
  <w:footnote w:type="continuationSeparator" w:id="0">
    <w:p w:rsidR="00725EFB" w:rsidRDefault="00725EFB">
      <w:r>
        <w:continuationSeparator/>
      </w:r>
    </w:p>
  </w:footnote>
  <w:footnote w:id="1">
    <w:p w:rsidR="00725EFB" w:rsidRDefault="00725EFB" w:rsidP="00863A6B">
      <w:r>
        <w:rPr>
          <w:rStyle w:val="Caracteresdenotaalpie"/>
          <w:rFonts w:ascii="Times" w:hAnsi="Times"/>
        </w:rPr>
        <w:footnoteRef/>
      </w:r>
      <w:r>
        <w:t xml:space="preserve"> Plan de Desarrollo Estratégico 2007-2014</w:t>
      </w:r>
    </w:p>
  </w:footnote>
  <w:footnote w:id="2">
    <w:p w:rsidR="00725EFB" w:rsidRDefault="00725EFB" w:rsidP="00863A6B">
      <w:r>
        <w:rPr>
          <w:rStyle w:val="Caracteresdenotaalpie"/>
          <w:rFonts w:ascii="Times" w:hAnsi="Times"/>
        </w:rPr>
        <w:footnoteRef/>
      </w:r>
      <w:r>
        <w:t xml:space="preserve"> Plan de Desarrollo Estratégico 2007-2014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FB" w:rsidRDefault="00725E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0"/>
    </w:tblGrid>
    <w:tr w:rsidR="00725EFB">
      <w:tc>
        <w:tcPr>
          <w:tcW w:w="450" w:type="dxa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3042"/>
            <w:gridCol w:w="4943"/>
            <w:gridCol w:w="1762"/>
          </w:tblGrid>
          <w:tr w:rsidR="00725EFB">
            <w:trPr>
              <w:trHeight w:val="1070"/>
            </w:trPr>
            <w:tc>
              <w:tcPr>
                <w:tcW w:w="3042" w:type="dxa"/>
                <w:shd w:val="clear" w:color="auto" w:fill="FFFFFF"/>
              </w:tcPr>
              <w:p w:rsidR="00725EFB" w:rsidRDefault="00725EFB">
                <w:pPr>
                  <w:pStyle w:val="Encabezado"/>
                  <w:snapToGrid w:val="0"/>
                </w:pPr>
                <w:r>
                  <w:object w:dxaOrig="952" w:dyaOrig="90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4pt;height:79.5pt" filled="t">
                      <v:fill opacity="0" color2="black"/>
                      <v:imagedata r:id="rId1" o:title=""/>
                    </v:shape>
                    <o:OLEObject Type="Embed" ProgID="Imagen" ShapeID="_x0000_i1026" DrawAspect="Content" ObjectID="_1533385589" r:id="rId2"/>
                  </w:object>
                </w:r>
              </w:p>
            </w:tc>
            <w:tc>
              <w:tcPr>
                <w:tcW w:w="4943" w:type="dxa"/>
                <w:shd w:val="clear" w:color="auto" w:fill="FFFFFF"/>
              </w:tcPr>
              <w:p w:rsidR="00725EFB" w:rsidRDefault="00725EFB">
                <w:pPr>
                  <w:pStyle w:val="Encabezado"/>
                  <w:ind w:right="1391"/>
                  <w:jc w:val="center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1143000" cy="723900"/>
                      <wp:effectExtent l="0" t="0" r="0" b="0"/>
                      <wp:docPr id="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62" w:type="dxa"/>
                <w:shd w:val="clear" w:color="auto" w:fill="FFFFFF"/>
              </w:tcPr>
              <w:p w:rsidR="00725EFB" w:rsidRDefault="00725EFB">
                <w:pPr>
                  <w:pStyle w:val="Encabezado"/>
                  <w:jc w:val="both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1323975" cy="1295400"/>
                      <wp:effectExtent l="0" t="0" r="0" b="0"/>
                      <wp:docPr id="9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25EFB" w:rsidRDefault="00725EFB">
          <w:pPr>
            <w:suppressAutoHyphens w:val="0"/>
          </w:pPr>
        </w:p>
      </w:tc>
    </w:tr>
  </w:tbl>
  <w:p w:rsidR="00725EFB" w:rsidRDefault="00725E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FB" w:rsidRDefault="00725E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C4226E"/>
    <w:multiLevelType w:val="hybridMultilevel"/>
    <w:tmpl w:val="9F6A21EC"/>
    <w:lvl w:ilvl="0" w:tplc="62E68DE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13205BB2"/>
    <w:multiLevelType w:val="hybridMultilevel"/>
    <w:tmpl w:val="232256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073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4BEAC5C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31BBF"/>
    <w:multiLevelType w:val="hybridMultilevel"/>
    <w:tmpl w:val="7C2078EE"/>
    <w:lvl w:ilvl="0" w:tplc="1082B9C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6EB099C"/>
    <w:multiLevelType w:val="hybridMultilevel"/>
    <w:tmpl w:val="232256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073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4BEAC5C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86EF2"/>
    <w:multiLevelType w:val="hybridMultilevel"/>
    <w:tmpl w:val="0ECE78E0"/>
    <w:lvl w:ilvl="0" w:tplc="0FE2AB7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00" w:hanging="360"/>
      </w:pPr>
    </w:lvl>
    <w:lvl w:ilvl="2" w:tplc="140A001B" w:tentative="1">
      <w:start w:val="1"/>
      <w:numFmt w:val="lowerRoman"/>
      <w:lvlText w:val="%3."/>
      <w:lvlJc w:val="right"/>
      <w:pPr>
        <w:ind w:left="2820" w:hanging="180"/>
      </w:pPr>
    </w:lvl>
    <w:lvl w:ilvl="3" w:tplc="140A000F" w:tentative="1">
      <w:start w:val="1"/>
      <w:numFmt w:val="decimal"/>
      <w:lvlText w:val="%4."/>
      <w:lvlJc w:val="left"/>
      <w:pPr>
        <w:ind w:left="3540" w:hanging="360"/>
      </w:pPr>
    </w:lvl>
    <w:lvl w:ilvl="4" w:tplc="140A0019" w:tentative="1">
      <w:start w:val="1"/>
      <w:numFmt w:val="lowerLetter"/>
      <w:lvlText w:val="%5."/>
      <w:lvlJc w:val="left"/>
      <w:pPr>
        <w:ind w:left="4260" w:hanging="360"/>
      </w:pPr>
    </w:lvl>
    <w:lvl w:ilvl="5" w:tplc="140A001B" w:tentative="1">
      <w:start w:val="1"/>
      <w:numFmt w:val="lowerRoman"/>
      <w:lvlText w:val="%6."/>
      <w:lvlJc w:val="right"/>
      <w:pPr>
        <w:ind w:left="4980" w:hanging="180"/>
      </w:pPr>
    </w:lvl>
    <w:lvl w:ilvl="6" w:tplc="140A000F" w:tentative="1">
      <w:start w:val="1"/>
      <w:numFmt w:val="decimal"/>
      <w:lvlText w:val="%7."/>
      <w:lvlJc w:val="left"/>
      <w:pPr>
        <w:ind w:left="5700" w:hanging="360"/>
      </w:pPr>
    </w:lvl>
    <w:lvl w:ilvl="7" w:tplc="140A0019" w:tentative="1">
      <w:start w:val="1"/>
      <w:numFmt w:val="lowerLetter"/>
      <w:lvlText w:val="%8."/>
      <w:lvlJc w:val="left"/>
      <w:pPr>
        <w:ind w:left="6420" w:hanging="360"/>
      </w:pPr>
    </w:lvl>
    <w:lvl w:ilvl="8" w:tplc="1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00133C8"/>
    <w:multiLevelType w:val="hybridMultilevel"/>
    <w:tmpl w:val="5900A7E2"/>
    <w:lvl w:ilvl="0" w:tplc="3198F8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E45280C"/>
    <w:multiLevelType w:val="hybridMultilevel"/>
    <w:tmpl w:val="600C0D34"/>
    <w:lvl w:ilvl="0" w:tplc="49B6236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73B83C6C"/>
    <w:multiLevelType w:val="hybridMultilevel"/>
    <w:tmpl w:val="F1B42E4E"/>
    <w:lvl w:ilvl="0" w:tplc="32B22F74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1"/>
    <w:rsid w:val="00004EFB"/>
    <w:rsid w:val="00057446"/>
    <w:rsid w:val="00073AAF"/>
    <w:rsid w:val="00092748"/>
    <w:rsid w:val="000F75B9"/>
    <w:rsid w:val="00123D9A"/>
    <w:rsid w:val="001563A3"/>
    <w:rsid w:val="00177D2C"/>
    <w:rsid w:val="001B008B"/>
    <w:rsid w:val="001C0869"/>
    <w:rsid w:val="001C73B4"/>
    <w:rsid w:val="00277180"/>
    <w:rsid w:val="002B3763"/>
    <w:rsid w:val="00302858"/>
    <w:rsid w:val="00304B3D"/>
    <w:rsid w:val="00323EEF"/>
    <w:rsid w:val="003420D2"/>
    <w:rsid w:val="003E6526"/>
    <w:rsid w:val="00442C2D"/>
    <w:rsid w:val="00477A31"/>
    <w:rsid w:val="004D024B"/>
    <w:rsid w:val="004F2943"/>
    <w:rsid w:val="005334B9"/>
    <w:rsid w:val="00577750"/>
    <w:rsid w:val="00580AE2"/>
    <w:rsid w:val="005E432E"/>
    <w:rsid w:val="006818C8"/>
    <w:rsid w:val="00682E62"/>
    <w:rsid w:val="006C0864"/>
    <w:rsid w:val="006D36C1"/>
    <w:rsid w:val="006F4B97"/>
    <w:rsid w:val="00725EFB"/>
    <w:rsid w:val="00740FAB"/>
    <w:rsid w:val="007557C0"/>
    <w:rsid w:val="007C70A4"/>
    <w:rsid w:val="0081102D"/>
    <w:rsid w:val="0086199B"/>
    <w:rsid w:val="00863A6B"/>
    <w:rsid w:val="008E0FC5"/>
    <w:rsid w:val="009357E2"/>
    <w:rsid w:val="00935F12"/>
    <w:rsid w:val="00A1018B"/>
    <w:rsid w:val="00AA2EA2"/>
    <w:rsid w:val="00AC0909"/>
    <w:rsid w:val="00B73AE1"/>
    <w:rsid w:val="00B73E50"/>
    <w:rsid w:val="00B86877"/>
    <w:rsid w:val="00B95501"/>
    <w:rsid w:val="00BA151C"/>
    <w:rsid w:val="00C22397"/>
    <w:rsid w:val="00C46A0A"/>
    <w:rsid w:val="00CD51AB"/>
    <w:rsid w:val="00D72532"/>
    <w:rsid w:val="00D865CF"/>
    <w:rsid w:val="00E55265"/>
    <w:rsid w:val="00EC51C2"/>
    <w:rsid w:val="00F16BBE"/>
    <w:rsid w:val="00F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oNotEmbedSmartTags/>
  <w:decimalSymbol w:val=","/>
  <w:listSeparator w:val=";"/>
  <w14:docId w14:val="0B3E7908"/>
  <w15:docId w15:val="{1A37847F-F9C5-47BA-A2F3-52F74F29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D9A"/>
    <w:pPr>
      <w:suppressAutoHyphens/>
    </w:pPr>
    <w:rPr>
      <w:kern w:val="1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7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23D9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" w:hanging="432"/>
      <w:jc w:val="right"/>
      <w:outlineLvl w:val="2"/>
    </w:pPr>
    <w:rPr>
      <w:rFonts w:ascii="Arial" w:hAnsi="Arial" w:cs="Arial"/>
      <w:spacing w:val="-3"/>
      <w:lang w:val="es-MX" w:eastAsia="zh-CN"/>
    </w:rPr>
  </w:style>
  <w:style w:type="paragraph" w:styleId="Ttulo6">
    <w:name w:val="heading 6"/>
    <w:basedOn w:val="Normal"/>
    <w:next w:val="Normal"/>
    <w:qFormat/>
    <w:rsid w:val="00123D9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" w:hanging="432"/>
      <w:jc w:val="center"/>
      <w:outlineLvl w:val="5"/>
    </w:pPr>
    <w:rPr>
      <w:rFonts w:ascii="Arial" w:hAnsi="Arial" w:cs="Arial"/>
      <w:b/>
      <w:bCs/>
      <w:spacing w:val="-3"/>
      <w:sz w:val="28"/>
      <w:szCs w:val="3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23D9A"/>
  </w:style>
  <w:style w:type="character" w:customStyle="1" w:styleId="WW8Num1z1">
    <w:name w:val="WW8Num1z1"/>
    <w:rsid w:val="00123D9A"/>
  </w:style>
  <w:style w:type="character" w:customStyle="1" w:styleId="WW8Num1z2">
    <w:name w:val="WW8Num1z2"/>
    <w:rsid w:val="00123D9A"/>
  </w:style>
  <w:style w:type="character" w:customStyle="1" w:styleId="WW8Num1z3">
    <w:name w:val="WW8Num1z3"/>
    <w:rsid w:val="00123D9A"/>
  </w:style>
  <w:style w:type="character" w:customStyle="1" w:styleId="WW8Num1z4">
    <w:name w:val="WW8Num1z4"/>
    <w:rsid w:val="00123D9A"/>
  </w:style>
  <w:style w:type="character" w:customStyle="1" w:styleId="WW8Num1z5">
    <w:name w:val="WW8Num1z5"/>
    <w:rsid w:val="00123D9A"/>
  </w:style>
  <w:style w:type="character" w:customStyle="1" w:styleId="WW8Num1z6">
    <w:name w:val="WW8Num1z6"/>
    <w:rsid w:val="00123D9A"/>
  </w:style>
  <w:style w:type="character" w:customStyle="1" w:styleId="WW8Num1z7">
    <w:name w:val="WW8Num1z7"/>
    <w:rsid w:val="00123D9A"/>
  </w:style>
  <w:style w:type="character" w:customStyle="1" w:styleId="WW8Num1z8">
    <w:name w:val="WW8Num1z8"/>
    <w:rsid w:val="00123D9A"/>
  </w:style>
  <w:style w:type="character" w:customStyle="1" w:styleId="WW8Num2z0">
    <w:name w:val="WW8Num2z0"/>
    <w:rsid w:val="00123D9A"/>
    <w:rPr>
      <w:b/>
    </w:rPr>
  </w:style>
  <w:style w:type="character" w:customStyle="1" w:styleId="WW8Num2z1">
    <w:name w:val="WW8Num2z1"/>
    <w:rsid w:val="00123D9A"/>
  </w:style>
  <w:style w:type="character" w:customStyle="1" w:styleId="WW8Num2z2">
    <w:name w:val="WW8Num2z2"/>
    <w:rsid w:val="00123D9A"/>
  </w:style>
  <w:style w:type="character" w:customStyle="1" w:styleId="WW8Num2z3">
    <w:name w:val="WW8Num2z3"/>
    <w:rsid w:val="00123D9A"/>
  </w:style>
  <w:style w:type="character" w:customStyle="1" w:styleId="WW8Num2z4">
    <w:name w:val="WW8Num2z4"/>
    <w:rsid w:val="00123D9A"/>
  </w:style>
  <w:style w:type="character" w:customStyle="1" w:styleId="WW8Num2z5">
    <w:name w:val="WW8Num2z5"/>
    <w:rsid w:val="00123D9A"/>
  </w:style>
  <w:style w:type="character" w:customStyle="1" w:styleId="WW8Num2z6">
    <w:name w:val="WW8Num2z6"/>
    <w:rsid w:val="00123D9A"/>
  </w:style>
  <w:style w:type="character" w:customStyle="1" w:styleId="WW8Num2z7">
    <w:name w:val="WW8Num2z7"/>
    <w:rsid w:val="00123D9A"/>
  </w:style>
  <w:style w:type="character" w:customStyle="1" w:styleId="WW8Num2z8">
    <w:name w:val="WW8Num2z8"/>
    <w:rsid w:val="00123D9A"/>
  </w:style>
  <w:style w:type="character" w:customStyle="1" w:styleId="WW8Num3z0">
    <w:name w:val="WW8Num3z0"/>
    <w:rsid w:val="00123D9A"/>
  </w:style>
  <w:style w:type="character" w:customStyle="1" w:styleId="WW8Num3z1">
    <w:name w:val="WW8Num3z1"/>
    <w:rsid w:val="00123D9A"/>
  </w:style>
  <w:style w:type="character" w:customStyle="1" w:styleId="WW8Num3z2">
    <w:name w:val="WW8Num3z2"/>
    <w:rsid w:val="00123D9A"/>
  </w:style>
  <w:style w:type="character" w:customStyle="1" w:styleId="WW8Num3z3">
    <w:name w:val="WW8Num3z3"/>
    <w:rsid w:val="00123D9A"/>
  </w:style>
  <w:style w:type="character" w:customStyle="1" w:styleId="WW8Num3z4">
    <w:name w:val="WW8Num3z4"/>
    <w:rsid w:val="00123D9A"/>
  </w:style>
  <w:style w:type="character" w:customStyle="1" w:styleId="WW8Num3z5">
    <w:name w:val="WW8Num3z5"/>
    <w:rsid w:val="00123D9A"/>
  </w:style>
  <w:style w:type="character" w:customStyle="1" w:styleId="WW8Num3z6">
    <w:name w:val="WW8Num3z6"/>
    <w:rsid w:val="00123D9A"/>
  </w:style>
  <w:style w:type="character" w:customStyle="1" w:styleId="WW8Num3z7">
    <w:name w:val="WW8Num3z7"/>
    <w:rsid w:val="00123D9A"/>
  </w:style>
  <w:style w:type="character" w:customStyle="1" w:styleId="WW8Num3z8">
    <w:name w:val="WW8Num3z8"/>
    <w:rsid w:val="00123D9A"/>
  </w:style>
  <w:style w:type="character" w:customStyle="1" w:styleId="WW8Num4z0">
    <w:name w:val="WW8Num4z0"/>
    <w:rsid w:val="00123D9A"/>
  </w:style>
  <w:style w:type="character" w:customStyle="1" w:styleId="WW8Num4z1">
    <w:name w:val="WW8Num4z1"/>
    <w:rsid w:val="00123D9A"/>
  </w:style>
  <w:style w:type="character" w:customStyle="1" w:styleId="WW8Num4z2">
    <w:name w:val="WW8Num4z2"/>
    <w:rsid w:val="00123D9A"/>
  </w:style>
  <w:style w:type="character" w:customStyle="1" w:styleId="WW8Num4z3">
    <w:name w:val="WW8Num4z3"/>
    <w:rsid w:val="00123D9A"/>
  </w:style>
  <w:style w:type="character" w:customStyle="1" w:styleId="WW8Num4z4">
    <w:name w:val="WW8Num4z4"/>
    <w:rsid w:val="00123D9A"/>
  </w:style>
  <w:style w:type="character" w:customStyle="1" w:styleId="WW8Num4z5">
    <w:name w:val="WW8Num4z5"/>
    <w:rsid w:val="00123D9A"/>
  </w:style>
  <w:style w:type="character" w:customStyle="1" w:styleId="WW8Num4z6">
    <w:name w:val="WW8Num4z6"/>
    <w:rsid w:val="00123D9A"/>
  </w:style>
  <w:style w:type="character" w:customStyle="1" w:styleId="WW8Num4z7">
    <w:name w:val="WW8Num4z7"/>
    <w:rsid w:val="00123D9A"/>
  </w:style>
  <w:style w:type="character" w:customStyle="1" w:styleId="WW8Num4z8">
    <w:name w:val="WW8Num4z8"/>
    <w:rsid w:val="00123D9A"/>
  </w:style>
  <w:style w:type="character" w:customStyle="1" w:styleId="WW8Num5z0">
    <w:name w:val="WW8Num5z0"/>
    <w:rsid w:val="00123D9A"/>
  </w:style>
  <w:style w:type="character" w:customStyle="1" w:styleId="WW8Num5z1">
    <w:name w:val="WW8Num5z1"/>
    <w:rsid w:val="00123D9A"/>
  </w:style>
  <w:style w:type="character" w:customStyle="1" w:styleId="WW8Num5z2">
    <w:name w:val="WW8Num5z2"/>
    <w:rsid w:val="00123D9A"/>
  </w:style>
  <w:style w:type="character" w:customStyle="1" w:styleId="WW8Num5z3">
    <w:name w:val="WW8Num5z3"/>
    <w:rsid w:val="00123D9A"/>
  </w:style>
  <w:style w:type="character" w:customStyle="1" w:styleId="WW8Num5z4">
    <w:name w:val="WW8Num5z4"/>
    <w:rsid w:val="00123D9A"/>
  </w:style>
  <w:style w:type="character" w:customStyle="1" w:styleId="WW8Num5z5">
    <w:name w:val="WW8Num5z5"/>
    <w:rsid w:val="00123D9A"/>
  </w:style>
  <w:style w:type="character" w:customStyle="1" w:styleId="WW8Num5z6">
    <w:name w:val="WW8Num5z6"/>
    <w:rsid w:val="00123D9A"/>
  </w:style>
  <w:style w:type="character" w:customStyle="1" w:styleId="WW8Num5z7">
    <w:name w:val="WW8Num5z7"/>
    <w:rsid w:val="00123D9A"/>
  </w:style>
  <w:style w:type="character" w:customStyle="1" w:styleId="WW8Num5z8">
    <w:name w:val="WW8Num5z8"/>
    <w:rsid w:val="00123D9A"/>
  </w:style>
  <w:style w:type="character" w:customStyle="1" w:styleId="WW8Num6z0">
    <w:name w:val="WW8Num6z0"/>
    <w:rsid w:val="00123D9A"/>
    <w:rPr>
      <w:rFonts w:cs="Arial"/>
      <w:color w:val="000000"/>
      <w:sz w:val="24"/>
    </w:rPr>
  </w:style>
  <w:style w:type="character" w:customStyle="1" w:styleId="WW8Num6z1">
    <w:name w:val="WW8Num6z1"/>
    <w:rsid w:val="00123D9A"/>
  </w:style>
  <w:style w:type="character" w:customStyle="1" w:styleId="WW8Num6z2">
    <w:name w:val="WW8Num6z2"/>
    <w:rsid w:val="00123D9A"/>
  </w:style>
  <w:style w:type="character" w:customStyle="1" w:styleId="WW8Num6z3">
    <w:name w:val="WW8Num6z3"/>
    <w:rsid w:val="00123D9A"/>
  </w:style>
  <w:style w:type="character" w:customStyle="1" w:styleId="WW8Num6z4">
    <w:name w:val="WW8Num6z4"/>
    <w:rsid w:val="00123D9A"/>
  </w:style>
  <w:style w:type="character" w:customStyle="1" w:styleId="WW8Num6z5">
    <w:name w:val="WW8Num6z5"/>
    <w:rsid w:val="00123D9A"/>
  </w:style>
  <w:style w:type="character" w:customStyle="1" w:styleId="WW8Num6z6">
    <w:name w:val="WW8Num6z6"/>
    <w:rsid w:val="00123D9A"/>
  </w:style>
  <w:style w:type="character" w:customStyle="1" w:styleId="WW8Num6z7">
    <w:name w:val="WW8Num6z7"/>
    <w:rsid w:val="00123D9A"/>
  </w:style>
  <w:style w:type="character" w:customStyle="1" w:styleId="WW8Num6z8">
    <w:name w:val="WW8Num6z8"/>
    <w:rsid w:val="00123D9A"/>
  </w:style>
  <w:style w:type="character" w:customStyle="1" w:styleId="WW8Num7z0">
    <w:name w:val="WW8Num7z0"/>
    <w:rsid w:val="00123D9A"/>
    <w:rPr>
      <w:b/>
    </w:rPr>
  </w:style>
  <w:style w:type="character" w:customStyle="1" w:styleId="WW8Num7z1">
    <w:name w:val="WW8Num7z1"/>
    <w:rsid w:val="00123D9A"/>
  </w:style>
  <w:style w:type="character" w:customStyle="1" w:styleId="WW8Num7z2">
    <w:name w:val="WW8Num7z2"/>
    <w:rsid w:val="00123D9A"/>
  </w:style>
  <w:style w:type="character" w:customStyle="1" w:styleId="WW8Num7z3">
    <w:name w:val="WW8Num7z3"/>
    <w:rsid w:val="00123D9A"/>
  </w:style>
  <w:style w:type="character" w:customStyle="1" w:styleId="WW8Num7z4">
    <w:name w:val="WW8Num7z4"/>
    <w:rsid w:val="00123D9A"/>
  </w:style>
  <w:style w:type="character" w:customStyle="1" w:styleId="WW8Num7z5">
    <w:name w:val="WW8Num7z5"/>
    <w:rsid w:val="00123D9A"/>
  </w:style>
  <w:style w:type="character" w:customStyle="1" w:styleId="WW8Num7z6">
    <w:name w:val="WW8Num7z6"/>
    <w:rsid w:val="00123D9A"/>
  </w:style>
  <w:style w:type="character" w:customStyle="1" w:styleId="WW8Num7z7">
    <w:name w:val="WW8Num7z7"/>
    <w:rsid w:val="00123D9A"/>
  </w:style>
  <w:style w:type="character" w:customStyle="1" w:styleId="WW8Num7z8">
    <w:name w:val="WW8Num7z8"/>
    <w:rsid w:val="00123D9A"/>
  </w:style>
  <w:style w:type="character" w:customStyle="1" w:styleId="WW8Num8z0">
    <w:name w:val="WW8Num8z0"/>
    <w:rsid w:val="00123D9A"/>
  </w:style>
  <w:style w:type="character" w:customStyle="1" w:styleId="WW8Num8z1">
    <w:name w:val="WW8Num8z1"/>
    <w:rsid w:val="00123D9A"/>
  </w:style>
  <w:style w:type="character" w:customStyle="1" w:styleId="WW8Num8z2">
    <w:name w:val="WW8Num8z2"/>
    <w:rsid w:val="00123D9A"/>
  </w:style>
  <w:style w:type="character" w:customStyle="1" w:styleId="WW8Num8z3">
    <w:name w:val="WW8Num8z3"/>
    <w:rsid w:val="00123D9A"/>
  </w:style>
  <w:style w:type="character" w:customStyle="1" w:styleId="WW8Num8z4">
    <w:name w:val="WW8Num8z4"/>
    <w:rsid w:val="00123D9A"/>
  </w:style>
  <w:style w:type="character" w:customStyle="1" w:styleId="WW8Num8z5">
    <w:name w:val="WW8Num8z5"/>
    <w:rsid w:val="00123D9A"/>
  </w:style>
  <w:style w:type="character" w:customStyle="1" w:styleId="WW8Num8z6">
    <w:name w:val="WW8Num8z6"/>
    <w:rsid w:val="00123D9A"/>
  </w:style>
  <w:style w:type="character" w:customStyle="1" w:styleId="WW8Num8z7">
    <w:name w:val="WW8Num8z7"/>
    <w:rsid w:val="00123D9A"/>
  </w:style>
  <w:style w:type="character" w:customStyle="1" w:styleId="WW8Num8z8">
    <w:name w:val="WW8Num8z8"/>
    <w:rsid w:val="00123D9A"/>
  </w:style>
  <w:style w:type="character" w:customStyle="1" w:styleId="Fuentedeprrafopredeter1">
    <w:name w:val="Fuente de párrafo predeter.1"/>
    <w:rsid w:val="00123D9A"/>
  </w:style>
  <w:style w:type="character" w:customStyle="1" w:styleId="EncabezadoCar">
    <w:name w:val="Encabezado Car"/>
    <w:rsid w:val="00123D9A"/>
    <w:rPr>
      <w:rFonts w:eastAsia="Times New Roman"/>
      <w:sz w:val="24"/>
      <w:szCs w:val="24"/>
      <w:lang w:val="es-ES" w:eastAsia="es-ES"/>
    </w:rPr>
  </w:style>
  <w:style w:type="character" w:customStyle="1" w:styleId="PiedepginaCar">
    <w:name w:val="Pie de página Car"/>
    <w:uiPriority w:val="99"/>
    <w:rsid w:val="00123D9A"/>
    <w:rPr>
      <w:rFonts w:eastAsia="Times New Roman"/>
      <w:sz w:val="24"/>
      <w:szCs w:val="24"/>
      <w:lang w:val="es-ES" w:eastAsia="es-ES"/>
    </w:rPr>
  </w:style>
  <w:style w:type="character" w:customStyle="1" w:styleId="TextodegloboCar">
    <w:name w:val="Texto de globo Car"/>
    <w:rsid w:val="00123D9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rsid w:val="00123D9A"/>
    <w:rPr>
      <w:rFonts w:ascii="Arial" w:eastAsia="Times New Roman" w:hAnsi="Arial" w:cs="Arial"/>
      <w:spacing w:val="-3"/>
      <w:sz w:val="24"/>
      <w:szCs w:val="24"/>
      <w:lang w:val="es-MX" w:eastAsia="zh-CN"/>
    </w:rPr>
  </w:style>
  <w:style w:type="character" w:customStyle="1" w:styleId="Ttulo6Car">
    <w:name w:val="Título 6 Car"/>
    <w:rsid w:val="00123D9A"/>
    <w:rPr>
      <w:rFonts w:ascii="Arial" w:eastAsia="Times New Roman" w:hAnsi="Arial" w:cs="Arial"/>
      <w:b/>
      <w:bCs/>
      <w:spacing w:val="-3"/>
      <w:sz w:val="28"/>
      <w:szCs w:val="32"/>
      <w:lang w:val="es-ES" w:eastAsia="zh-CN"/>
    </w:rPr>
  </w:style>
  <w:style w:type="character" w:styleId="Hipervnculo">
    <w:name w:val="Hyperlink"/>
    <w:rsid w:val="00123D9A"/>
    <w:rPr>
      <w:color w:val="0000FF"/>
      <w:u w:val="single"/>
    </w:rPr>
  </w:style>
  <w:style w:type="character" w:customStyle="1" w:styleId="SangradetextonormalCar">
    <w:name w:val="Sangría de texto normal Car"/>
    <w:rsid w:val="00123D9A"/>
    <w:rPr>
      <w:rFonts w:ascii="Courier New" w:eastAsia="Times New Roman" w:hAnsi="Courier New" w:cs="Courier New"/>
      <w:b/>
      <w:bCs/>
      <w:sz w:val="32"/>
      <w:szCs w:val="32"/>
      <w:u w:val="single"/>
      <w:lang w:val="es-MX" w:eastAsia="zh-CN"/>
    </w:rPr>
  </w:style>
  <w:style w:type="character" w:customStyle="1" w:styleId="TextonotapieCar">
    <w:name w:val="Texto nota pie Car"/>
    <w:basedOn w:val="Fuentedeprrafopredeter1"/>
    <w:rsid w:val="00123D9A"/>
    <w:rPr>
      <w:rFonts w:eastAsia="Times New Roman"/>
      <w:lang w:val="es-ES" w:eastAsia="es-ES"/>
    </w:rPr>
  </w:style>
  <w:style w:type="character" w:customStyle="1" w:styleId="Refdenotaalpie1">
    <w:name w:val="Ref. de nota al pie1"/>
    <w:basedOn w:val="Fuentedeprrafopredeter1"/>
    <w:rsid w:val="00123D9A"/>
    <w:rPr>
      <w:vertAlign w:val="superscript"/>
    </w:rPr>
  </w:style>
  <w:style w:type="character" w:customStyle="1" w:styleId="Textoindependiente2Car">
    <w:name w:val="Texto independiente 2 Car"/>
    <w:basedOn w:val="Fuentedeprrafopredeter1"/>
    <w:rsid w:val="00123D9A"/>
    <w:rPr>
      <w:rFonts w:eastAsia="Times New Roman"/>
      <w:sz w:val="24"/>
      <w:szCs w:val="24"/>
      <w:lang w:val="es-ES" w:eastAsia="es-ES"/>
    </w:rPr>
  </w:style>
  <w:style w:type="character" w:customStyle="1" w:styleId="ListLabel1">
    <w:name w:val="ListLabel 1"/>
    <w:rsid w:val="00123D9A"/>
    <w:rPr>
      <w:b/>
    </w:rPr>
  </w:style>
  <w:style w:type="character" w:customStyle="1" w:styleId="Caracteresdenotafinal">
    <w:name w:val="Caracteres de nota final"/>
    <w:rsid w:val="00123D9A"/>
  </w:style>
  <w:style w:type="character" w:customStyle="1" w:styleId="Caracteresdenotaalpie">
    <w:name w:val="Caracteres de nota al pie"/>
    <w:rsid w:val="00123D9A"/>
    <w:rPr>
      <w:vertAlign w:val="superscript"/>
    </w:rPr>
  </w:style>
  <w:style w:type="character" w:customStyle="1" w:styleId="WW-Caracteresdenotaalpie">
    <w:name w:val="WW-Caracteres de nota al pie"/>
    <w:rsid w:val="00123D9A"/>
  </w:style>
  <w:style w:type="character" w:customStyle="1" w:styleId="Smbolosdenumeracin">
    <w:name w:val="Símbolos de numeración"/>
    <w:rsid w:val="00123D9A"/>
  </w:style>
  <w:style w:type="character" w:customStyle="1" w:styleId="ListLabel5">
    <w:name w:val="ListLabel 5"/>
    <w:rsid w:val="00123D9A"/>
    <w:rPr>
      <w:color w:val="000000"/>
      <w:sz w:val="24"/>
    </w:rPr>
  </w:style>
  <w:style w:type="character" w:customStyle="1" w:styleId="ListLabel3">
    <w:name w:val="ListLabel 3"/>
    <w:rsid w:val="00123D9A"/>
    <w:rPr>
      <w:b/>
    </w:rPr>
  </w:style>
  <w:style w:type="character" w:customStyle="1" w:styleId="usercontent">
    <w:name w:val="usercontent"/>
    <w:basedOn w:val="Fuentedeprrafopredeter1"/>
    <w:rsid w:val="00123D9A"/>
  </w:style>
  <w:style w:type="character" w:styleId="Refdenotaalfinal">
    <w:name w:val="endnote reference"/>
    <w:rsid w:val="00123D9A"/>
    <w:rPr>
      <w:vertAlign w:val="superscript"/>
    </w:rPr>
  </w:style>
  <w:style w:type="character" w:styleId="Refdenotaalpie">
    <w:name w:val="footnote reference"/>
    <w:rsid w:val="00123D9A"/>
    <w:rPr>
      <w:vertAlign w:val="superscript"/>
    </w:rPr>
  </w:style>
  <w:style w:type="paragraph" w:customStyle="1" w:styleId="Encabezado1">
    <w:name w:val="Encabezado1"/>
    <w:basedOn w:val="Normal"/>
    <w:next w:val="Textoindependiente"/>
    <w:rsid w:val="00123D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123D9A"/>
    <w:pPr>
      <w:spacing w:after="140" w:line="288" w:lineRule="auto"/>
    </w:pPr>
  </w:style>
  <w:style w:type="paragraph" w:styleId="Lista">
    <w:name w:val="List"/>
    <w:basedOn w:val="Textoindependiente"/>
    <w:rsid w:val="00123D9A"/>
    <w:rPr>
      <w:rFonts w:cs="Mangal"/>
    </w:rPr>
  </w:style>
  <w:style w:type="paragraph" w:styleId="Descripcin">
    <w:name w:val="caption"/>
    <w:basedOn w:val="Normal"/>
    <w:qFormat/>
    <w:rsid w:val="00123D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23D9A"/>
    <w:pPr>
      <w:suppressLineNumbers/>
    </w:pPr>
    <w:rPr>
      <w:rFonts w:cs="Mangal"/>
    </w:rPr>
  </w:style>
  <w:style w:type="paragraph" w:styleId="Encabezado">
    <w:name w:val="header"/>
    <w:basedOn w:val="Normal"/>
    <w:rsid w:val="00123D9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uiPriority w:val="99"/>
    <w:rsid w:val="00123D9A"/>
    <w:pPr>
      <w:tabs>
        <w:tab w:val="center" w:pos="4419"/>
        <w:tab w:val="right" w:pos="8838"/>
      </w:tabs>
    </w:pPr>
  </w:style>
  <w:style w:type="paragraph" w:customStyle="1" w:styleId="Textodeglobo1">
    <w:name w:val="Texto de globo1"/>
    <w:basedOn w:val="Normal"/>
    <w:rsid w:val="00123D9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123D9A"/>
    <w:rPr>
      <w:rFonts w:ascii="Courier New" w:hAnsi="Courier New" w:cs="Courier New"/>
      <w:b/>
      <w:bCs/>
      <w:sz w:val="32"/>
      <w:szCs w:val="32"/>
      <w:u w:val="single"/>
      <w:lang w:val="es-MX" w:eastAsia="zh-CN"/>
    </w:rPr>
  </w:style>
  <w:style w:type="paragraph" w:customStyle="1" w:styleId="Textonotapie1">
    <w:name w:val="Texto nota pie1"/>
    <w:basedOn w:val="Normal"/>
    <w:rsid w:val="00123D9A"/>
    <w:rPr>
      <w:sz w:val="20"/>
      <w:szCs w:val="20"/>
    </w:rPr>
  </w:style>
  <w:style w:type="paragraph" w:customStyle="1" w:styleId="Textoindependiente21">
    <w:name w:val="Texto independiente 21"/>
    <w:basedOn w:val="Normal"/>
    <w:rsid w:val="00123D9A"/>
    <w:pPr>
      <w:spacing w:after="120" w:line="480" w:lineRule="auto"/>
    </w:pPr>
  </w:style>
  <w:style w:type="paragraph" w:customStyle="1" w:styleId="Textodenotaalpie">
    <w:name w:val="Texto de nota al pie"/>
    <w:basedOn w:val="Normal"/>
    <w:rsid w:val="00123D9A"/>
    <w:pPr>
      <w:widowControl w:val="0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rsid w:val="00123D9A"/>
  </w:style>
  <w:style w:type="paragraph" w:customStyle="1" w:styleId="Sangra3detindependiente1">
    <w:name w:val="Sangría 3 de t. independiente1"/>
    <w:basedOn w:val="Normal"/>
    <w:rsid w:val="00123D9A"/>
    <w:pPr>
      <w:spacing w:after="120"/>
      <w:ind w:left="360"/>
    </w:pPr>
    <w:rPr>
      <w:sz w:val="16"/>
      <w:szCs w:val="16"/>
    </w:rPr>
  </w:style>
  <w:style w:type="paragraph" w:customStyle="1" w:styleId="Prrafodelista1">
    <w:name w:val="Párrafo de lista1"/>
    <w:basedOn w:val="Normal"/>
    <w:rsid w:val="00123D9A"/>
    <w:pPr>
      <w:ind w:left="720"/>
    </w:pPr>
  </w:style>
  <w:style w:type="paragraph" w:customStyle="1" w:styleId="Contenidodelatabla">
    <w:name w:val="Contenido de la tabla"/>
    <w:basedOn w:val="Normal"/>
    <w:rsid w:val="00123D9A"/>
    <w:pPr>
      <w:suppressLineNumbers/>
    </w:pPr>
  </w:style>
  <w:style w:type="paragraph" w:customStyle="1" w:styleId="Encabezadodelatabla">
    <w:name w:val="Encabezado de la tabla"/>
    <w:basedOn w:val="Contenidodelatabla"/>
    <w:rsid w:val="00123D9A"/>
    <w:pPr>
      <w:jc w:val="center"/>
    </w:pPr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7C0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5744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57446"/>
    <w:rPr>
      <w:rFonts w:ascii="Tahoma" w:hAnsi="Tahoma" w:cs="Tahoma"/>
      <w:kern w:val="1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420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>
    <b:Tag>Bre92</b:Tag>
    <b:SourceType>Book</b:SourceType>
    <b:Guid>{93907556-634F-4098-B9CB-294C9A7BEF9F}</b:Guid>
    <b:Title>Tratado de los contratos</b:Title>
    <b:Year>1992</b:Year>
    <b:Author>
      <b:Author>
        <b:NameList>
          <b:Person>
            <b:Last>Brenes</b:Last>
            <b:First>Alberto</b:First>
          </b:Person>
        </b:NameList>
      </b:Author>
    </b:Author>
    <b:City>San José</b:City>
    <b:Publisher>Editorial Juricentro</b:Publisher>
    <b:Pages>65-86</b:Pages>
    <b:RefOrder>1</b:RefOrder>
  </b:Source>
</b:Sources>
</file>

<file path=customXml/itemProps1.xml><?xml version="1.0" encoding="utf-8"?>
<ds:datastoreItem xmlns:ds="http://schemas.openxmlformats.org/officeDocument/2006/customXml" ds:itemID="{09986DEE-9ED4-42CF-B1D1-37ADD17C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3183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105340079</dc:creator>
  <cp:lastModifiedBy>Gabriela Carranza Araya</cp:lastModifiedBy>
  <cp:revision>5</cp:revision>
  <cp:lastPrinted>2016-08-08T20:57:00Z</cp:lastPrinted>
  <dcterms:created xsi:type="dcterms:W3CDTF">2016-08-22T04:19:00Z</dcterms:created>
  <dcterms:modified xsi:type="dcterms:W3CDTF">2016-08-22T21:40:00Z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