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glossary/_rels/document.xml.rels" ContentType="application/vnd.openxmlformats-package.relationships+xml"/>
  <Override PartName="/word/glossary/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41" w:rightFromText="141" w:tblpX="0" w:tblpXSpec="center" w:tblpY="-900" w:tblpYSpec="" w:topFromText="0" w:vertAnchor="margin"/>
        <w:tblW w:w="104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2804"/>
        <w:gridCol w:w="5236"/>
        <w:gridCol w:w="2432"/>
      </w:tblGrid>
      <w:tr>
        <w:trPr>
          <w:trHeight w:val="1400" w:hRule="atLeast"/>
        </w:trPr>
        <w:tc>
          <w:tcPr>
            <w:tcW w:w="2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Encabezamiento"/>
              <w:jc w:val="center"/>
            </w:pPr>
            <w:r>
              <w:rPr/>
              <w:drawing>
                <wp:inline distT="0" distB="0" distL="0" distR="0">
                  <wp:extent cx="1638300" cy="619125"/>
                  <wp:effectExtent l="0" t="0" r="0" b="0"/>
                  <wp:docPr id="1" name="Picture"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irma_horizontal"/>
                          <pic:cNvPicPr>
                            <a:picLocks noChangeAspect="1" noChangeArrowheads="1"/>
                          </pic:cNvPicPr>
                        </pic:nvPicPr>
                        <pic:blipFill>
                          <a:blip r:embed="rId2"/>
                          <a:stretch>
                            <a:fillRect/>
                          </a:stretch>
                        </pic:blipFill>
                        <pic:spPr bwMode="auto">
                          <a:xfrm>
                            <a:off x="0" y="0"/>
                            <a:ext cx="1638300" cy="619125"/>
                          </a:xfrm>
                          <a:prstGeom prst="rect">
                            <a:avLst/>
                          </a:prstGeom>
                          <a:noFill/>
                          <a:ln w="9525">
                            <a:noFill/>
                            <a:miter lim="800000"/>
                            <a:headEnd/>
                            <a:tailEnd/>
                          </a:ln>
                        </pic:spPr>
                      </pic:pic>
                    </a:graphicData>
                  </a:graphic>
                </wp:inline>
              </w:drawing>
            </w:r>
            <w:r/>
          </w:p>
        </w:tc>
        <w:tc>
          <w:tcPr>
            <w:tcW w:w="5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Encabezamiento"/>
              <w:jc w:val="center"/>
              <w:rPr>
                <w:sz w:val="16"/>
                <w:b/>
                <w:sz w:val="16"/>
                <w:b/>
                <w:szCs w:val="24"/>
                <w:rFonts w:ascii="Arial" w:hAnsi="Arial" w:eastAsia="Times New Roman"/>
                <w:lang w:val="es-ES" w:eastAsia="es-ES"/>
              </w:rPr>
            </w:pPr>
            <w:r>
              <w:rPr>
                <w:rFonts w:ascii="Arial" w:hAnsi="Arial"/>
                <w:b/>
                <w:sz w:val="16"/>
              </w:rPr>
            </w:r>
            <w:r/>
          </w:p>
          <w:p>
            <w:pPr>
              <w:pStyle w:val="Encabezamiento"/>
              <w:jc w:val="center"/>
              <w:rPr>
                <w:bCs/>
                <w:rFonts w:ascii="Arial" w:hAnsi="Arial"/>
              </w:rPr>
            </w:pPr>
            <w:r>
              <w:rPr>
                <w:rFonts w:ascii="Arial" w:hAnsi="Arial"/>
                <w:bCs/>
              </w:rPr>
              <w:t>FACULTAD DE CIENCIAS SOCIALES</w:t>
            </w:r>
            <w:r/>
          </w:p>
          <w:p>
            <w:pPr>
              <w:pStyle w:val="Encabezamiento"/>
              <w:jc w:val="center"/>
              <w:rPr>
                <w:bCs/>
                <w:rFonts w:ascii="Arial" w:hAnsi="Arial"/>
              </w:rPr>
            </w:pPr>
            <w:r>
              <w:rPr>
                <w:rFonts w:ascii="Arial" w:hAnsi="Arial"/>
                <w:bCs/>
              </w:rPr>
              <w:t>ESCUELA DE PSICOLOGIA</w:t>
            </w:r>
            <w:r/>
          </w:p>
          <w:p>
            <w:pPr>
              <w:pStyle w:val="Encabezamiento"/>
              <w:jc w:val="center"/>
              <w:rPr>
                <w:bCs/>
                <w:rFonts w:ascii="Arial" w:hAnsi="Arial"/>
              </w:rPr>
            </w:pPr>
            <w:r>
              <w:rPr>
                <w:rFonts w:ascii="Arial" w:hAnsi="Arial"/>
                <w:bCs/>
              </w:rPr>
              <w:t>TELEF. 2511-5561/FAX 2511-4017</w:t>
            </w:r>
            <w:r/>
          </w:p>
          <w:p>
            <w:pPr>
              <w:pStyle w:val="Piedepgina"/>
              <w:jc w:val="center"/>
              <w:rPr>
                <w:sz w:val="18"/>
                <w:sz w:val="18"/>
                <w:szCs w:val="18"/>
                <w:bCs/>
                <w:rFonts w:ascii="Arial" w:hAnsi="Arial" w:cs="Arial"/>
              </w:rPr>
            </w:pPr>
            <w:r>
              <w:rPr>
                <w:rFonts w:cs="Arial" w:ascii="Arial" w:hAnsi="Arial"/>
                <w:bCs/>
                <w:sz w:val="18"/>
                <w:szCs w:val="18"/>
              </w:rPr>
              <w:t>Correo: psicologia@ucr.ac.cr / Página: www.psico.ucr.ac.cr</w:t>
            </w:r>
            <w:r/>
          </w:p>
          <w:p>
            <w:pPr>
              <w:pStyle w:val="Encabezamiento"/>
              <w:jc w:val="center"/>
              <w:rPr>
                <w:sz w:val="28"/>
                <w:b/>
                <w:sz w:val="28"/>
                <w:b/>
                <w:bCs/>
                <w:rFonts w:ascii="Lucida Handwriting" w:hAnsi="Lucida Handwriting" w:cs="Arial"/>
              </w:rPr>
            </w:pPr>
            <w:r>
              <w:rPr>
                <w:rFonts w:cs="Arial" w:ascii="Lucida Handwriting" w:hAnsi="Lucida Handwriting"/>
                <w:b/>
                <w:bCs/>
                <w:sz w:val="28"/>
              </w:rPr>
              <w:t>Re-acreditada ante el SINAES</w:t>
            </w:r>
            <w:r/>
          </w:p>
        </w:tc>
        <w:tc>
          <w:tcPr>
            <w:tcW w:w="2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Encabezamiento"/>
              <w:spacing w:lineRule="atLeast" w:line="240"/>
            </w:pPr>
            <w:r>
              <w:rPr/>
              <w:drawing>
                <wp:inline distT="0" distB="0" distL="0" distR="0">
                  <wp:extent cx="1362075" cy="447675"/>
                  <wp:effectExtent l="0" t="0" r="0" b="0"/>
                  <wp:docPr id="2" name="Picture"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sicologia"/>
                          <pic:cNvPicPr>
                            <a:picLocks noChangeAspect="1" noChangeArrowheads="1"/>
                          </pic:cNvPicPr>
                        </pic:nvPicPr>
                        <pic:blipFill>
                          <a:blip r:embed="rId3"/>
                          <a:stretch>
                            <a:fillRect/>
                          </a:stretch>
                        </pic:blipFill>
                        <pic:spPr bwMode="auto">
                          <a:xfrm>
                            <a:off x="0" y="0"/>
                            <a:ext cx="1362075" cy="447675"/>
                          </a:xfrm>
                          <a:prstGeom prst="rect">
                            <a:avLst/>
                          </a:prstGeom>
                          <a:noFill/>
                          <a:ln w="9525">
                            <a:noFill/>
                            <a:miter lim="800000"/>
                            <a:headEnd/>
                            <a:tailEnd/>
                          </a:ln>
                        </pic:spPr>
                      </pic:pic>
                    </a:graphicData>
                  </a:graphic>
                </wp:inline>
              </w:drawing>
            </w:r>
            <w:r/>
          </w:p>
        </w:tc>
      </w:tr>
    </w:tbl>
    <w:p>
      <w:pPr>
        <w:pStyle w:val="Encabezado4"/>
        <w:rPr>
          <w:sz w:val="28"/>
          <w:sz w:val="28"/>
          <w:szCs w:val="20"/>
          <w:rFonts w:ascii="Garamond" w:hAnsi="Garamond" w:eastAsia="Times New Roman"/>
          <w:lang w:val="es-CR" w:eastAsia="es-ES"/>
        </w:rPr>
      </w:pPr>
      <w:r>
        <w:rPr>
          <w:sz w:val="28"/>
        </w:rPr>
      </w:r>
      <w:r/>
    </w:p>
    <w:p>
      <w:pPr>
        <w:pStyle w:val="Normal"/>
        <w:tabs>
          <w:tab w:val="center" w:pos="5041" w:leader="none"/>
          <w:tab w:val="left" w:pos="9135" w:leader="none"/>
        </w:tabs>
        <w:rPr>
          <w:sz w:val="22"/>
          <w:sz w:val="22"/>
          <w:szCs w:val="22"/>
          <w:rFonts w:ascii="Trebuchet MS" w:hAnsi="Trebuchet MS"/>
          <w:lang w:val="es-CR"/>
        </w:rPr>
      </w:pPr>
      <w:r>
        <w:rPr>
          <w:rFonts w:ascii="Trebuchet MS" w:hAnsi="Trebuchet MS"/>
          <w:b/>
          <w:sz w:val="22"/>
          <w:szCs w:val="22"/>
        </w:rPr>
        <w:tab/>
        <w:t>I CICLO LECTIVO 2015</w:t>
      </w:r>
      <w:r>
        <w:rPr>
          <w:rFonts w:ascii="Trebuchet MS" w:hAnsi="Trebuchet MS"/>
          <w:sz w:val="22"/>
          <w:szCs w:val="22"/>
          <w:lang w:val="es-CR"/>
        </w:rPr>
        <w:t xml:space="preserve"> </w:t>
        <w:tab/>
      </w:r>
      <w:r/>
    </w:p>
    <w:p>
      <w:pPr>
        <w:pStyle w:val="Normal"/>
        <w:tabs>
          <w:tab w:val="left" w:pos="1275" w:leader="none"/>
          <w:tab w:val="center" w:pos="5041" w:leader="none"/>
        </w:tabs>
        <w:rPr>
          <w:sz w:val="22"/>
          <w:b/>
          <w:sz w:val="22"/>
          <w:b/>
          <w:szCs w:val="22"/>
          <w:rFonts w:ascii="Trebuchet MS" w:hAnsi="Trebuchet MS"/>
          <w:lang w:val="es-CR"/>
        </w:rPr>
      </w:pPr>
      <w:r>
        <w:rPr>
          <w:rFonts w:ascii="Trebuchet MS" w:hAnsi="Trebuchet MS"/>
          <w:b/>
          <w:sz w:val="22"/>
          <w:szCs w:val="22"/>
          <w:lang w:val="es-CR"/>
        </w:rPr>
        <w:tab/>
      </w:r>
      <w:bookmarkStart w:id="0" w:name="_GoBack"/>
      <w:bookmarkEnd w:id="0"/>
      <w:r>
        <w:rPr>
          <w:rFonts w:ascii="Trebuchet MS" w:hAnsi="Trebuchet MS"/>
          <w:b/>
          <w:sz w:val="22"/>
          <w:szCs w:val="22"/>
          <w:lang w:val="es-CR"/>
        </w:rPr>
        <w:tab/>
        <w:t>PROGRAMA DEL CURSO</w:t>
      </w:r>
      <w:r/>
    </w:p>
    <w:p>
      <w:pPr>
        <w:pStyle w:val="Encabezado4"/>
        <w:rPr>
          <w:sz w:val="22"/>
          <w:b/>
          <w:sz w:val="22"/>
          <w:b/>
          <w:szCs w:val="22"/>
          <w:rFonts w:ascii="Trebuchet MS" w:hAnsi="Trebuchet MS"/>
        </w:rPr>
      </w:pPr>
      <w:r>
        <w:rPr>
          <w:rFonts w:ascii="Trebuchet MS" w:hAnsi="Trebuchet MS"/>
          <w:b/>
          <w:sz w:val="22"/>
          <w:szCs w:val="22"/>
        </w:rPr>
        <w:t>PS-0058 Psicología del Desarrollo Humano III</w:t>
      </w:r>
      <w:r/>
    </w:p>
    <w:p>
      <w:pPr>
        <w:pStyle w:val="Normal"/>
        <w:jc w:val="center"/>
        <w:rPr>
          <w:sz w:val="22"/>
          <w:b/>
          <w:sz w:val="22"/>
          <w:b/>
          <w:szCs w:val="22"/>
          <w:rFonts w:ascii="Trebuchet MS" w:hAnsi="Trebuchet MS"/>
          <w:lang w:val="es-CR"/>
        </w:rPr>
      </w:pPr>
      <w:r>
        <w:rPr>
          <w:rFonts w:ascii="Trebuchet MS" w:hAnsi="Trebuchet MS"/>
          <w:b/>
          <w:sz w:val="22"/>
          <w:szCs w:val="22"/>
          <w:lang w:val="es-CR"/>
        </w:rPr>
        <w:t>(3 créditos)</w:t>
      </w:r>
      <w:r/>
    </w:p>
    <w:p>
      <w:pPr>
        <w:pStyle w:val="Normal"/>
        <w:jc w:val="center"/>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rPr>
          <w:sz w:val="22"/>
          <w:b/>
          <w:sz w:val="22"/>
          <w:b/>
          <w:szCs w:val="22"/>
          <w:rFonts w:ascii="Trebuchet MS" w:hAnsi="Trebuchet MS"/>
          <w:lang w:val="pt-BR"/>
        </w:rPr>
      </w:pPr>
      <w:r>
        <w:rPr>
          <w:rFonts w:ascii="Trebuchet MS" w:hAnsi="Trebuchet MS"/>
          <w:b/>
          <w:sz w:val="22"/>
          <w:szCs w:val="22"/>
          <w:lang w:val="pt-BR"/>
        </w:rPr>
        <w:t>DOCENTES</w:t>
        <w:tab/>
        <w:tab/>
        <w:tab/>
        <w:t xml:space="preserve">       CORREO ELECTRÓNICO</w:t>
        <w:tab/>
        <w:tab/>
        <w:t>GRUPO    HORARIO</w:t>
        <w:tab/>
        <w:tab/>
        <w:t>AULA</w:t>
      </w:r>
      <w:r/>
    </w:p>
    <w:p>
      <w:pPr>
        <w:pStyle w:val="Normal"/>
        <w:rPr>
          <w:sz w:val="22"/>
          <w:sz w:val="22"/>
          <w:szCs w:val="22"/>
          <w:rFonts w:ascii="Trebuchet MS" w:hAnsi="Trebuchet MS"/>
          <w:lang w:val="es-CR"/>
        </w:rPr>
      </w:pPr>
      <w:r>
        <w:rPr>
          <w:rFonts w:ascii="Trebuchet MS" w:hAnsi="Trebuchet MS"/>
          <w:sz w:val="22"/>
          <w:szCs w:val="22"/>
          <w:lang w:val="es-CR"/>
        </w:rPr>
        <w:t>Licda. Adela Herrán Rescia</w:t>
        <w:tab/>
        <w:t xml:space="preserve">        ade.hr@hotmail.com</w:t>
        <w:tab/>
        <w:t xml:space="preserve">  </w:t>
        <w:tab/>
        <w:t xml:space="preserve">   01</w:t>
        <w:tab/>
        <w:t xml:space="preserve">     K 7 am – 9:50</w:t>
        <w:tab/>
        <w:t>212</w:t>
      </w:r>
      <w:r/>
    </w:p>
    <w:p>
      <w:pPr>
        <w:pStyle w:val="Normal"/>
      </w:pPr>
      <w:r>
        <w:rPr>
          <w:rFonts w:ascii="Trebuchet MS" w:hAnsi="Trebuchet MS"/>
          <w:sz w:val="22"/>
          <w:szCs w:val="22"/>
          <w:lang w:val="es-CR"/>
        </w:rPr>
        <w:t>Dr. Gustavo Garita Sánchez</w:t>
        <w:tab/>
        <w:t xml:space="preserve">        gustavo.garita@ucr.ac.cr</w:t>
        <w:tab/>
        <w:t xml:space="preserve">   02</w:t>
        <w:tab/>
        <w:t xml:space="preserve">     J 10 am - 12:50</w:t>
        <w:tab/>
        <w:t>214</w:t>
      </w:r>
      <w:r/>
    </w:p>
    <w:p>
      <w:pPr>
        <w:pStyle w:val="Normal"/>
        <w:rPr>
          <w:sz w:val="22"/>
          <w:sz w:val="22"/>
          <w:szCs w:val="22"/>
          <w:rFonts w:ascii="Trebuchet MS" w:hAnsi="Trebuchet MS"/>
          <w:lang w:val="es-CR"/>
        </w:rPr>
      </w:pPr>
      <w:r>
        <w:rPr>
          <w:rFonts w:ascii="Trebuchet MS" w:hAnsi="Trebuchet MS"/>
          <w:sz w:val="22"/>
          <w:szCs w:val="22"/>
          <w:lang w:val="es-CR"/>
        </w:rPr>
        <w:t>MSc. Teresita Ramellini Centella   tere.ramellini@gmail.com</w:t>
        <w:tab/>
        <w:t xml:space="preserve">   03</w:t>
        <w:tab/>
        <w:t xml:space="preserve">     K 7 pm – 9:50 </w:t>
        <w:tab/>
        <w:t>213</w:t>
      </w:r>
      <w:r/>
    </w:p>
    <w:p>
      <w:pPr>
        <w:pStyle w:val="Normal"/>
        <w:rPr>
          <w:sz w:val="22"/>
          <w:sz w:val="22"/>
          <w:szCs w:val="22"/>
          <w:rFonts w:ascii="Trebuchet MS" w:hAnsi="Trebuchet MS"/>
          <w:lang w:val="es-CR"/>
        </w:rPr>
      </w:pPr>
      <w:r>
        <w:rPr>
          <w:rFonts w:ascii="Trebuchet MS" w:hAnsi="Trebuchet MS"/>
          <w:sz w:val="22"/>
          <w:szCs w:val="22"/>
          <w:lang w:val="es-CR"/>
        </w:rPr>
        <w:t>Dra. Mónica Salazar Villanea</w:t>
        <w:tab/>
        <w:t xml:space="preserve">         </w:t>
      </w:r>
      <w:r>
        <w:rPr>
          <w:rFonts w:ascii="Trebuchet MS" w:hAnsi="Trebuchet MS"/>
          <w:sz w:val="20"/>
          <w:szCs w:val="20"/>
          <w:lang w:val="es-CR"/>
        </w:rPr>
        <w:t xml:space="preserve">monica.salazarvillanea@ucr.ac.cr   </w:t>
      </w:r>
      <w:r>
        <w:rPr>
          <w:rFonts w:ascii="Trebuchet MS" w:hAnsi="Trebuchet MS"/>
          <w:sz w:val="22"/>
          <w:szCs w:val="22"/>
          <w:lang w:val="es-CR"/>
        </w:rPr>
        <w:t>04          V 1 pm - 3:50</w:t>
        <w:tab/>
        <w:t>322</w:t>
      </w:r>
      <w:r/>
    </w:p>
    <w:p>
      <w:pPr>
        <w:pStyle w:val="Normal"/>
      </w:pPr>
      <w:r>
        <w:rPr>
          <w:rFonts w:ascii="Trebuchet MS" w:hAnsi="Trebuchet MS"/>
          <w:sz w:val="22"/>
          <w:szCs w:val="22"/>
          <w:lang w:val="es-CR"/>
        </w:rPr>
        <w:t>Lic</w:t>
      </w:r>
      <w:r>
        <w:rPr>
          <w:rFonts w:ascii="Trebuchet MS" w:hAnsi="Trebuchet MS"/>
          <w:sz w:val="22"/>
          <w:szCs w:val="22"/>
          <w:lang w:val="es-CR"/>
        </w:rPr>
        <w:t xml:space="preserve">. </w:t>
      </w:r>
      <w:r>
        <w:rPr>
          <w:rFonts w:ascii="Trebuchet MS" w:hAnsi="Trebuchet MS"/>
          <w:sz w:val="22"/>
          <w:szCs w:val="22"/>
          <w:lang w:val="es-CR"/>
        </w:rPr>
        <w:t>Damián Herrera González</w:t>
      </w:r>
      <w:r>
        <w:rPr>
          <w:rFonts w:ascii="Trebuchet MS" w:hAnsi="Trebuchet MS"/>
          <w:sz w:val="22"/>
          <w:szCs w:val="22"/>
          <w:lang w:val="es-CR"/>
        </w:rPr>
        <w:t xml:space="preserve">       </w:t>
      </w:r>
      <w:r>
        <w:rPr>
          <w:rFonts w:ascii="Trebuchet MS" w:hAnsi="Trebuchet MS"/>
          <w:sz w:val="22"/>
          <w:szCs w:val="22"/>
          <w:lang w:val="es-CR"/>
        </w:rPr>
        <w:t>damianhg</w:t>
      </w:r>
      <w:r>
        <w:rPr>
          <w:rFonts w:ascii="Trebuchet MS" w:hAnsi="Trebuchet MS"/>
          <w:sz w:val="22"/>
          <w:szCs w:val="22"/>
          <w:lang w:val="es-CR"/>
        </w:rPr>
        <w:t xml:space="preserve">@gmail.com                Occidente  </w:t>
      </w:r>
      <w:r/>
    </w:p>
    <w:p>
      <w:pPr>
        <w:pStyle w:val="Normal"/>
        <w:rPr>
          <w:sz w:val="22"/>
          <w:sz w:val="22"/>
          <w:szCs w:val="22"/>
          <w:rFonts w:ascii="Trebuchet MS" w:hAnsi="Trebuchet MS"/>
          <w:lang w:val="es-CR"/>
        </w:rPr>
      </w:pPr>
      <w:r>
        <w:rPr>
          <w:rFonts w:ascii="Trebuchet MS" w:hAnsi="Trebuchet MS"/>
          <w:sz w:val="20"/>
          <w:szCs w:val="20"/>
          <w:lang w:val="es-CR"/>
        </w:rPr>
        <w:t>M.Sc. Alejandra Arguedas Gamboa</w:t>
      </w:r>
      <w:r>
        <w:rPr>
          <w:rFonts w:ascii="Trebuchet MS" w:hAnsi="Trebuchet MS"/>
          <w:sz w:val="22"/>
          <w:szCs w:val="22"/>
          <w:lang w:val="es-CR"/>
        </w:rPr>
        <w:t xml:space="preserve">     alejandra.arga@gmail.com</w:t>
        <w:tab/>
        <w:t xml:space="preserve">  Guanacaste</w:t>
      </w:r>
      <w:r/>
    </w:p>
    <w:p>
      <w:pPr>
        <w:pStyle w:val="Normal"/>
        <w:rPr>
          <w:sz w:val="22"/>
          <w:sz w:val="22"/>
          <w:szCs w:val="22"/>
          <w:rFonts w:ascii="Trebuchet MS" w:hAnsi="Trebuchet MS" w:eastAsia="Times New Roman"/>
          <w:lang w:val="pt-BR" w:eastAsia="es-ES"/>
        </w:rPr>
      </w:pPr>
      <w:r>
        <w:rPr>
          <w:rFonts w:ascii="Trebuchet MS" w:hAnsi="Trebuchet MS"/>
          <w:sz w:val="22"/>
          <w:szCs w:val="22"/>
          <w:lang w:val="pt-BR"/>
        </w:rPr>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mc:AlternateContent>
          <mc:Choice Requires="wps">
            <w:drawing>
              <wp:anchor behindDoc="1" distT="0" distB="0" distL="114300" distR="114300" simplePos="0" locked="0" layoutInCell="1" allowOverlap="1" relativeHeight="4">
                <wp:simplePos x="0" y="0"/>
                <wp:positionH relativeFrom="column">
                  <wp:posOffset>0</wp:posOffset>
                </wp:positionH>
                <wp:positionV relativeFrom="paragraph">
                  <wp:posOffset>114300</wp:posOffset>
                </wp:positionV>
                <wp:extent cx="4171315" cy="1270"/>
                <wp:effectExtent l="0" t="0" r="0" b="0"/>
                <wp:wrapNone/>
                <wp:docPr id="3" name="Line 2"/>
                <a:graphic xmlns:a="http://schemas.openxmlformats.org/drawingml/2006/main">
                  <a:graphicData uri="http://schemas.microsoft.com/office/word/2010/wordprocessingShape">
                    <wps:wsp>
                      <wps:cNvSpPr/>
                      <wps:spPr>
                        <a:xfrm>
                          <a:off x="0" y="0"/>
                          <a:ext cx="5943600" cy="0"/>
                        </a:xfrm>
                        <a:prstGeom prst="line">
                          <a:avLst/>
                        </a:prstGeom>
                        <a:ln>
                          <a:solidFill>
                            <a:srgbClr val="000000"/>
                          </a:solidFill>
                        </a:ln>
                      </wps:spPr>
                      <wps:bodyPr/>
                    </wps:wsp>
                  </a:graphicData>
                </a:graphic>
              </wp:anchor>
            </w:drawing>
          </mc:Choice>
          <mc:Fallback>
            <w:pict>
              <v:line id="shape_0" from="0pt,9pt" to="467.95pt,9pt" ID="Line 2" stroked="t" style="position:absolute">
                <v:stroke color="black" joinstyle="round" endcap="flat"/>
                <v:fill on="false" o:detectmouseclick="t"/>
              </v:line>
            </w:pict>
          </mc:Fallback>
        </mc:AlternateContent>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Introducción</w:t>
      </w:r>
      <w:r/>
    </w:p>
    <w:p>
      <w:pPr>
        <w:pStyle w:val="Normal"/>
        <w:spacing w:before="240" w:after="0"/>
        <w:jc w:val="both"/>
        <w:rPr>
          <w:sz w:val="22"/>
          <w:sz w:val="22"/>
          <w:szCs w:val="22"/>
          <w:rFonts w:ascii="Trebuchet MS" w:hAnsi="Trebuchet MS"/>
          <w:lang w:val="es-CR"/>
        </w:rPr>
      </w:pPr>
      <w:r>
        <w:rPr>
          <w:rFonts w:ascii="Trebuchet MS" w:hAnsi="Trebuchet MS"/>
          <w:sz w:val="22"/>
          <w:szCs w:val="22"/>
          <w:lang w:val="es-CR"/>
        </w:rPr>
        <w:t>En este curso se estudian los principales procesos de desarrollo psicológico característicos de la adultez y la adultez mayor. La perspectiva general del curso es clínico-evolutiva. Hay un interés específico en la comprensión de la estructura del desarrollo psicológico tal y como acontece en la adultez y la vejez.  Además, los objetivos tratan de alcanzarse mediante ejercicios de ilustración conceptual y por ejercicios de investigación teórica y empírica.</w:t>
      </w:r>
      <w:r/>
    </w:p>
    <w:p>
      <w:pPr>
        <w:pStyle w:val="Normal"/>
        <w:spacing w:before="240" w:after="0"/>
        <w:jc w:val="both"/>
        <w:rPr>
          <w:sz w:val="22"/>
          <w:sz w:val="22"/>
          <w:szCs w:val="22"/>
          <w:rFonts w:ascii="Trebuchet MS" w:hAnsi="Trebuchet MS"/>
          <w:lang w:val="es-CR"/>
        </w:rPr>
      </w:pPr>
      <w:r>
        <w:rPr>
          <w:rFonts w:ascii="Trebuchet MS" w:hAnsi="Trebuchet MS"/>
          <w:sz w:val="22"/>
          <w:szCs w:val="22"/>
          <w:lang w:val="es-CR"/>
        </w:rPr>
        <w:t xml:space="preserve">Asimismo, se hace énfasis en la conceptuación del desarrollo humano en estas etapas como un proceso, de allí la necesidad de visibilizar la interacción continua tanto de factores biológicos como psicológicos, sociales, culturales y ambientales, los cuales actúan al mismo tiempo en la transformación del sujeto humano.  El trabajo desde la perspectiva del desarrollo humano hace así imperativa e imprescindible, la utilización del respeto a las personas en su diversidad como elemento central de intervención y análisis. </w:t>
      </w:r>
      <w:r/>
    </w:p>
    <w:p>
      <w:pPr>
        <w:pStyle w:val="Normal"/>
        <w:spacing w:before="240" w:after="0"/>
        <w:jc w:val="both"/>
        <w:rPr>
          <w:sz w:val="22"/>
          <w:sz w:val="22"/>
          <w:szCs w:val="22"/>
          <w:rFonts w:ascii="Trebuchet MS" w:hAnsi="Trebuchet MS"/>
          <w:lang w:val="es-CR"/>
        </w:rPr>
      </w:pPr>
      <w:r>
        <w:rPr>
          <w:rFonts w:ascii="Trebuchet MS" w:hAnsi="Trebuchet MS"/>
          <w:sz w:val="22"/>
          <w:szCs w:val="22"/>
          <w:lang w:val="es-CR"/>
        </w:rPr>
        <w:t>El programa se desarrollará de tal forma, tomando en consideración fundamentos transversales importantes como los enfoques de derechos humanos, de género, generacional, ambientales, culturales, de la multiculturalidad y de la exclusión social, que complementan los conceptos básicos del desarrollo humano en  la vida adulta.</w:t>
      </w:r>
      <w:r/>
    </w:p>
    <w:p>
      <w:pPr>
        <w:pStyle w:val="Normal"/>
        <w:jc w:val="both"/>
        <w:rPr>
          <w:smallCaps/>
          <w:sz w:val="22"/>
          <w:sz w:val="22"/>
          <w:szCs w:val="22"/>
          <w:rFonts w:ascii="Trebuchet MS" w:hAnsi="Trebuchet MS" w:eastAsia="Times New Roman"/>
          <w:lang w:val="es-CR" w:eastAsia="es-ES"/>
        </w:rPr>
      </w:pPr>
      <w:r>
        <w:rPr>
          <w:rFonts w:ascii="Trebuchet MS" w:hAnsi="Trebuchet MS"/>
          <w:smallCap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Objetivos</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ListParagraph"/>
        <w:numPr>
          <w:ilvl w:val="0"/>
          <w:numId w:val="5"/>
        </w:numPr>
        <w:ind w:left="709" w:hanging="425"/>
        <w:jc w:val="both"/>
        <w:rPr>
          <w:sz w:val="22"/>
          <w:sz w:val="22"/>
          <w:szCs w:val="22"/>
          <w:rFonts w:ascii="Trebuchet MS" w:hAnsi="Trebuchet MS"/>
          <w:lang w:val="es-CR"/>
        </w:rPr>
      </w:pPr>
      <w:r>
        <w:rPr>
          <w:rFonts w:ascii="Trebuchet MS" w:hAnsi="Trebuchet MS"/>
          <w:sz w:val="22"/>
          <w:szCs w:val="22"/>
          <w:lang w:val="es-CR"/>
        </w:rPr>
        <w:t>Conocer la estructura teórica y meta-teórica de la psicología del desarrollo del ciclo vital, focalizando el estudio del envejecimiento psicológico.</w:t>
      </w:r>
      <w:r/>
    </w:p>
    <w:p>
      <w:pPr>
        <w:pStyle w:val="ListParagraph"/>
        <w:numPr>
          <w:ilvl w:val="0"/>
          <w:numId w:val="5"/>
        </w:numPr>
        <w:ind w:left="709" w:hanging="425"/>
        <w:jc w:val="both"/>
        <w:rPr>
          <w:sz w:val="22"/>
          <w:sz w:val="22"/>
          <w:szCs w:val="22"/>
          <w:rFonts w:ascii="Trebuchet MS" w:hAnsi="Trebuchet MS"/>
          <w:lang w:val="es-CR"/>
        </w:rPr>
      </w:pPr>
      <w:r>
        <w:rPr>
          <w:rFonts w:ascii="Trebuchet MS" w:hAnsi="Trebuchet MS"/>
          <w:sz w:val="22"/>
          <w:szCs w:val="22"/>
          <w:lang w:val="es-CR"/>
        </w:rPr>
        <w:t>Introducirse a los conceptos básicos implicados en los métodos de investigación de la psicología del desarrollo del ciclo vital.</w:t>
      </w:r>
      <w:r/>
    </w:p>
    <w:p>
      <w:pPr>
        <w:pStyle w:val="ListParagraph"/>
        <w:numPr>
          <w:ilvl w:val="0"/>
          <w:numId w:val="5"/>
        </w:numPr>
        <w:ind w:left="709" w:hanging="425"/>
        <w:jc w:val="both"/>
        <w:rPr>
          <w:sz w:val="22"/>
          <w:sz w:val="22"/>
          <w:szCs w:val="22"/>
          <w:rFonts w:ascii="Trebuchet MS" w:hAnsi="Trebuchet MS"/>
          <w:lang w:val="es-CR"/>
        </w:rPr>
      </w:pPr>
      <w:r>
        <w:rPr>
          <w:rFonts w:ascii="Trebuchet MS" w:hAnsi="Trebuchet MS"/>
          <w:sz w:val="22"/>
          <w:szCs w:val="22"/>
          <w:lang w:val="es-CR"/>
        </w:rPr>
        <w:t xml:space="preserve">Estudiar los modelos teóricos y metodológicos principales que intentan explicar los procesos psico-biológicos, cognoscitivo-lingüísticos, socioemocionales, personales e interpersonales del envejecimiento, </w:t>
      </w:r>
      <w:r>
        <w:rPr>
          <w:rFonts w:ascii="Trebuchet MS" w:hAnsi="Trebuchet MS"/>
          <w:sz w:val="22"/>
          <w:szCs w:val="22"/>
        </w:rPr>
        <w:t>estimulando el análisis de los determinantes éticos y críticos de las diferentes teorías sobre el desarrollo humano en estas etapas</w:t>
      </w:r>
      <w:r/>
    </w:p>
    <w:p>
      <w:pPr>
        <w:pStyle w:val="ListParagraph"/>
        <w:numPr>
          <w:ilvl w:val="0"/>
          <w:numId w:val="5"/>
        </w:numPr>
        <w:ind w:left="709" w:hanging="425"/>
        <w:jc w:val="both"/>
        <w:rPr>
          <w:sz w:val="22"/>
          <w:sz w:val="22"/>
          <w:szCs w:val="22"/>
          <w:rFonts w:ascii="Trebuchet MS" w:hAnsi="Trebuchet MS"/>
          <w:lang w:val="es-CR"/>
        </w:rPr>
      </w:pPr>
      <w:r>
        <w:rPr>
          <w:rFonts w:ascii="Trebuchet MS" w:hAnsi="Trebuchet MS"/>
          <w:sz w:val="22"/>
          <w:szCs w:val="22"/>
          <w:lang w:val="es-CR"/>
        </w:rPr>
        <w:t xml:space="preserve">Favorecer la comprensión del desarrollo de la persona adulta a partir de una visión de continuidad, discontinuidad e integración en su contexto socio histórico. </w:t>
      </w:r>
      <w:r/>
    </w:p>
    <w:p>
      <w:pPr>
        <w:pStyle w:val="ListParagraph"/>
        <w:numPr>
          <w:ilvl w:val="0"/>
          <w:numId w:val="5"/>
        </w:numPr>
        <w:ind w:left="709" w:hanging="425"/>
        <w:jc w:val="both"/>
        <w:rPr>
          <w:sz w:val="22"/>
          <w:sz w:val="22"/>
          <w:szCs w:val="22"/>
          <w:rFonts w:ascii="Trebuchet MS" w:hAnsi="Trebuchet MS"/>
          <w:lang w:val="es-CR"/>
        </w:rPr>
      </w:pPr>
      <w:r>
        <w:rPr>
          <w:rFonts w:ascii="Trebuchet MS" w:hAnsi="Trebuchet MS"/>
          <w:sz w:val="22"/>
          <w:szCs w:val="22"/>
          <w:lang w:val="es-CR"/>
        </w:rPr>
        <w:t>Fomentar espacios de discusión y análisis de los temas programados, teniendo especial cuidado en considerar y destacar las diferencias por género, ambiente, cultura y derechos humanos.</w:t>
      </w:r>
      <w:r/>
    </w:p>
    <w:p>
      <w:pPr>
        <w:pStyle w:val="ListParagraph"/>
        <w:numPr>
          <w:ilvl w:val="0"/>
          <w:numId w:val="5"/>
        </w:numPr>
        <w:ind w:left="709" w:hanging="425"/>
        <w:jc w:val="both"/>
        <w:rPr>
          <w:sz w:val="22"/>
          <w:sz w:val="22"/>
          <w:szCs w:val="22"/>
          <w:rFonts w:ascii="Trebuchet MS" w:hAnsi="Trebuchet MS"/>
          <w:lang w:val="es-CR"/>
        </w:rPr>
      </w:pPr>
      <w:r>
        <w:rPr>
          <w:rFonts w:ascii="Trebuchet MS" w:hAnsi="Trebuchet MS"/>
          <w:sz w:val="22"/>
          <w:szCs w:val="22"/>
          <w:lang w:val="es-CR"/>
        </w:rPr>
        <w:t xml:space="preserve">Propiciar el interés y la sensibilización de los y las estudiantes para el estudio y el análisis de la situación concreta de las personas adultas mayores en el contexto nacional e internacional. </w:t>
      </w:r>
      <w:r/>
    </w:p>
    <w:p>
      <w:pPr>
        <w:pStyle w:val="Normal"/>
        <w:ind w:left="720" w:hanging="0"/>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PERFILES</w:t>
        <w:tab/>
        <w:t xml:space="preserve">         </w:t>
      </w:r>
      <w:r/>
    </w:p>
    <w:p>
      <w:pPr>
        <w:pStyle w:val="Normal"/>
        <w:spacing w:lineRule="auto" w:line="276"/>
        <w:jc w:val="both"/>
        <w:rPr>
          <w:sz w:val="22"/>
          <w:i/>
          <w:b/>
          <w:sz w:val="22"/>
          <w:i/>
          <w:b/>
          <w:szCs w:val="22"/>
          <w:rFonts w:ascii="Trebuchet MS" w:hAnsi="Trebuchet MS" w:eastAsia="" w:cs="Arial" w:eastAsiaTheme="minorEastAsia"/>
          <w:lang w:val="es-CR" w:eastAsia="es-CR"/>
        </w:rPr>
      </w:pPr>
      <w:r>
        <w:rPr>
          <w:rFonts w:eastAsia="" w:cs="Arial" w:ascii="Trebuchet MS" w:hAnsi="Trebuchet MS" w:eastAsiaTheme="minorEastAsia"/>
          <w:b/>
          <w:i/>
          <w:sz w:val="22"/>
          <w:szCs w:val="22"/>
          <w:lang w:val="es-CR" w:eastAsia="es-CR"/>
        </w:rPr>
        <w:t>PERFIL DE ENTRADA</w:t>
      </w:r>
      <w:r/>
    </w:p>
    <w:p>
      <w:pPr>
        <w:pStyle w:val="Normal"/>
        <w:numPr>
          <w:ilvl w:val="0"/>
          <w:numId w:val="8"/>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 xml:space="preserve">Conoce los aspectos básicos de los modelos teóricos de explicación de los principales procesos psicológicos en la adolescencia y la juventud en una perspectiva clínico-evolutiva. </w:t>
      </w:r>
      <w:r/>
    </w:p>
    <w:p>
      <w:pPr>
        <w:pStyle w:val="Normal"/>
        <w:numPr>
          <w:ilvl w:val="0"/>
          <w:numId w:val="8"/>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 xml:space="preserve">Analiza de forma crítica los aspectos biológicos, cognoscitivos, emocionales e interpersonales del desarrollo de la adolescencia y la juventud. </w:t>
      </w:r>
      <w:r/>
    </w:p>
    <w:p>
      <w:pPr>
        <w:pStyle w:val="Normal"/>
        <w:numPr>
          <w:ilvl w:val="0"/>
          <w:numId w:val="8"/>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Valora positivamente esta etapa de la vida, mediante una comprensión adecuada del/la persona adolescente y joven como agentes de su propio desarrollo.</w:t>
      </w:r>
      <w:r/>
    </w:p>
    <w:p>
      <w:pPr>
        <w:pStyle w:val="Normal"/>
        <w:spacing w:lineRule="auto" w:line="276"/>
        <w:jc w:val="both"/>
        <w:rPr>
          <w:sz w:val="22"/>
          <w:sz w:val="22"/>
          <w:szCs w:val="22"/>
          <w:rFonts w:ascii="Trebuchet MS" w:hAnsi="Trebuchet MS" w:eastAsia="" w:cs="Arial" w:eastAsiaTheme="minorEastAsia"/>
          <w:lang w:val="es-CR" w:eastAsia="es-CR"/>
        </w:rPr>
      </w:pPr>
      <w:r>
        <w:rPr>
          <w:rFonts w:eastAsia="" w:cs="Arial" w:eastAsiaTheme="minorEastAsia" w:ascii="Trebuchet MS" w:hAnsi="Trebuchet MS"/>
          <w:sz w:val="22"/>
          <w:szCs w:val="22"/>
          <w:lang w:val="es-CR" w:eastAsia="es-CR"/>
        </w:rPr>
      </w:r>
      <w:r/>
    </w:p>
    <w:p>
      <w:pPr>
        <w:pStyle w:val="Normal"/>
        <w:spacing w:lineRule="auto" w:line="276"/>
        <w:jc w:val="both"/>
        <w:rPr>
          <w:sz w:val="22"/>
          <w:i/>
          <w:b/>
          <w:sz w:val="22"/>
          <w:i/>
          <w:b/>
          <w:szCs w:val="22"/>
          <w:rFonts w:ascii="Trebuchet MS" w:hAnsi="Trebuchet MS" w:eastAsia="" w:cs="Arial" w:eastAsiaTheme="minorEastAsia"/>
          <w:lang w:val="es-CR" w:eastAsia="es-CR"/>
        </w:rPr>
      </w:pPr>
      <w:r>
        <w:rPr>
          <w:rFonts w:eastAsia="" w:cs="Arial" w:ascii="Trebuchet MS" w:hAnsi="Trebuchet MS" w:eastAsiaTheme="minorEastAsia"/>
          <w:b/>
          <w:i/>
          <w:sz w:val="22"/>
          <w:szCs w:val="22"/>
          <w:lang w:val="es-CR" w:eastAsia="es-CR"/>
        </w:rPr>
        <w:t>PERFIL DE SALIDA</w:t>
      </w:r>
      <w:r/>
    </w:p>
    <w:p>
      <w:pPr>
        <w:pStyle w:val="Normal"/>
        <w:numPr>
          <w:ilvl w:val="0"/>
          <w:numId w:val="9"/>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Analiza la estructura teórica y metateórica del desarrollo del ciclo vital, enfocando el estudio del envejecimiento psicológico.</w:t>
      </w:r>
      <w:r/>
    </w:p>
    <w:p>
      <w:pPr>
        <w:pStyle w:val="Normal"/>
        <w:numPr>
          <w:ilvl w:val="0"/>
          <w:numId w:val="9"/>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Conoce los conceptos básicos implicados en los métodos de investigación de la psicología del desarrollo del ciclo vital.</w:t>
      </w:r>
      <w:r/>
    </w:p>
    <w:p>
      <w:pPr>
        <w:pStyle w:val="Normal"/>
        <w:numPr>
          <w:ilvl w:val="0"/>
          <w:numId w:val="9"/>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Examina los modelos teóricos y metodológicos principales que intentan explicar los procesos psicobiológicos, cognoscitivo-lingüísticos, socioemocionales, personales e interpersonales en el desarrollo del envejecimiento, estimulando el análisis de los determinantes éticos y críticos de las diferentes teorías sobre el desarrollo humano en estas etapas.</w:t>
      </w:r>
      <w:r/>
    </w:p>
    <w:p>
      <w:pPr>
        <w:pStyle w:val="Normal"/>
        <w:numPr>
          <w:ilvl w:val="0"/>
          <w:numId w:val="9"/>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 xml:space="preserve">Comprende el desarrollo humano a partir de una visión de continuidad, discontinuidad e integración en su contexto socio histórico. </w:t>
      </w:r>
      <w:r/>
    </w:p>
    <w:p>
      <w:pPr>
        <w:pStyle w:val="Normal"/>
        <w:numPr>
          <w:ilvl w:val="0"/>
          <w:numId w:val="9"/>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Analiza los temas programados teniendo especial cuidado en considerar y destacar las diferencias por género, ambiente, cultura y derechos humanos.</w:t>
      </w:r>
      <w:r/>
    </w:p>
    <w:p>
      <w:pPr>
        <w:pStyle w:val="Normal"/>
        <w:numPr>
          <w:ilvl w:val="0"/>
          <w:numId w:val="9"/>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Aplica las herramientas conceptuales pertinentes para analizar y comprender la situación concreta de personas adultas y adultas mayores.</w:t>
      </w:r>
      <w:r/>
    </w:p>
    <w:p>
      <w:pPr>
        <w:pStyle w:val="Normal"/>
        <w:spacing w:lineRule="auto" w:line="276"/>
        <w:jc w:val="both"/>
        <w:rPr>
          <w:sz w:val="22"/>
          <w:sz w:val="22"/>
          <w:szCs w:val="22"/>
          <w:rFonts w:ascii="Trebuchet MS" w:hAnsi="Trebuchet MS" w:eastAsia="" w:cs="Arial" w:eastAsiaTheme="minorEastAsia"/>
          <w:lang w:val="es-CR" w:eastAsia="es-CR"/>
        </w:rPr>
      </w:pPr>
      <w:r>
        <w:rPr>
          <w:rFonts w:eastAsia="" w:cs="Arial" w:eastAsiaTheme="minorEastAsia" w:ascii="Trebuchet MS" w:hAnsi="Trebuchet MS"/>
          <w:sz w:val="22"/>
          <w:szCs w:val="22"/>
          <w:lang w:val="es-CR" w:eastAsia="es-CR"/>
        </w:rPr>
      </w:r>
      <w:r/>
    </w:p>
    <w:p>
      <w:pPr>
        <w:pStyle w:val="Normal"/>
        <w:spacing w:lineRule="auto" w:line="276"/>
        <w:jc w:val="both"/>
        <w:rPr>
          <w:sz w:val="22"/>
          <w:i/>
          <w:b/>
          <w:sz w:val="22"/>
          <w:i/>
          <w:b/>
          <w:szCs w:val="22"/>
          <w:rFonts w:ascii="Trebuchet MS" w:hAnsi="Trebuchet MS" w:eastAsia="" w:cs="Arial" w:eastAsiaTheme="minorEastAsia"/>
          <w:lang w:val="es-CR" w:eastAsia="es-CR"/>
        </w:rPr>
      </w:pPr>
      <w:r>
        <w:rPr>
          <w:rFonts w:eastAsia="" w:cs="Arial" w:ascii="Trebuchet MS" w:hAnsi="Trebuchet MS" w:eastAsiaTheme="minorEastAsia"/>
          <w:b/>
          <w:i/>
          <w:sz w:val="22"/>
          <w:szCs w:val="22"/>
          <w:lang w:val="es-CR" w:eastAsia="es-CR"/>
        </w:rPr>
        <w:t>CONOCIMIENTOS</w:t>
      </w:r>
      <w:r/>
    </w:p>
    <w:p>
      <w:pPr>
        <w:pStyle w:val="Normal"/>
        <w:numPr>
          <w:ilvl w:val="0"/>
          <w:numId w:val="6"/>
        </w:numPr>
        <w:spacing w:before="0" w:after="200"/>
        <w:contextualSpacing/>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Universalidad y especificidad de los Derechos Humanos</w:t>
      </w:r>
      <w:r/>
    </w:p>
    <w:p>
      <w:pPr>
        <w:pStyle w:val="Normal"/>
        <w:numPr>
          <w:ilvl w:val="0"/>
          <w:numId w:val="6"/>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Historia, premisas básicas y preguntas principales de la psicología del desarrollo humano.</w:t>
      </w:r>
      <w:r/>
    </w:p>
    <w:p>
      <w:pPr>
        <w:pStyle w:val="Normal"/>
        <w:numPr>
          <w:ilvl w:val="0"/>
          <w:numId w:val="6"/>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Aspectos básicos de los principales modelos teóricos que intentan explicar los procesos normativos del desarrollo en las dimensiones biocultural, cognoscitiva, lingüística y socioemocional característicos de la adultez y la adultez mayor.</w:t>
      </w:r>
      <w:r/>
    </w:p>
    <w:p>
      <w:pPr>
        <w:pStyle w:val="Normal"/>
        <w:numPr>
          <w:ilvl w:val="0"/>
          <w:numId w:val="6"/>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Principales métodos y técnicas de investigación para la comprensión de los procesos de desarrollo característicos de la adultez y la adultez mayor (en las dimensiones biocultural, cognoscitiva, lingüística y socioemocional) a partir de información en artículos científicos, así como demostraciones visuales. Lo anterior con capacidad de contextualizarlo.</w:t>
      </w:r>
      <w:r/>
    </w:p>
    <w:p>
      <w:pPr>
        <w:pStyle w:val="Normal"/>
        <w:numPr>
          <w:ilvl w:val="0"/>
          <w:numId w:val="6"/>
        </w:numPr>
        <w:spacing w:before="0" w:after="200"/>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Capacidad para desarrollar un análisis continuo sobre los procesos normativos del desarrollo en la adultez y adultez mayor y sus determinantes.</w:t>
      </w:r>
      <w:r/>
    </w:p>
    <w:p>
      <w:pPr>
        <w:pStyle w:val="Normal"/>
        <w:spacing w:lineRule="auto" w:line="276"/>
        <w:jc w:val="both"/>
        <w:rPr>
          <w:sz w:val="22"/>
          <w:i/>
          <w:b/>
          <w:sz w:val="22"/>
          <w:i/>
          <w:b/>
          <w:szCs w:val="22"/>
          <w:rFonts w:ascii="Trebuchet MS" w:hAnsi="Trebuchet MS" w:eastAsia="" w:cs="Arial" w:eastAsiaTheme="minorEastAsia"/>
          <w:lang w:val="es-CR" w:eastAsia="es-CR"/>
        </w:rPr>
      </w:pPr>
      <w:r>
        <w:rPr>
          <w:rFonts w:eastAsia="" w:cs="Arial" w:ascii="Trebuchet MS" w:hAnsi="Trebuchet MS" w:eastAsiaTheme="minorEastAsia"/>
          <w:b/>
          <w:i/>
          <w:sz w:val="22"/>
          <w:szCs w:val="22"/>
          <w:lang w:val="es-CR" w:eastAsia="es-CR"/>
        </w:rPr>
        <w:t>HABILIDADES</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Capacidad de aplicar los conocimientos a la realidad cotidiana.</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Habilidad para buscar, integrar, procesar y analizar información procedente de diversas fuentes.</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Capacidad para identificar, plantear y resolver problemas en el campo, de forma científica y creativa.</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Habilidad para trabajar de manera inter y multidisciplinaria.</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Habilidades interpersonales: empatía, respeto a las diversidades, capacidad de escucha, tolerancia a la frustración.</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 xml:space="preserve">Habilidades de comunicación: claridad y fluidez en la comunicación oral y escrita. </w:t>
      </w:r>
      <w:r/>
    </w:p>
    <w:p>
      <w:pPr>
        <w:pStyle w:val="Normal"/>
        <w:numPr>
          <w:ilvl w:val="0"/>
          <w:numId w:val="10"/>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Habilidades sociales: comunicación asertiva, mediación y resolución de conflictos.</w:t>
      </w:r>
      <w:r/>
    </w:p>
    <w:p>
      <w:pPr>
        <w:pStyle w:val="Normal"/>
        <w:spacing w:lineRule="auto" w:line="276"/>
        <w:jc w:val="both"/>
        <w:rPr>
          <w:sz w:val="22"/>
          <w:sz w:val="22"/>
          <w:szCs w:val="22"/>
          <w:rFonts w:ascii="Trebuchet MS" w:hAnsi="Trebuchet MS" w:eastAsia="" w:cs="Arial" w:eastAsiaTheme="minorEastAsia"/>
          <w:lang w:val="es-CR" w:eastAsia="es-CR"/>
        </w:rPr>
      </w:pPr>
      <w:r>
        <w:rPr>
          <w:rFonts w:eastAsia="" w:cs="Arial" w:eastAsiaTheme="minorEastAsia" w:ascii="Trebuchet MS" w:hAnsi="Trebuchet MS"/>
          <w:sz w:val="22"/>
          <w:szCs w:val="22"/>
          <w:lang w:val="es-CR" w:eastAsia="es-CR"/>
        </w:rPr>
      </w:r>
      <w:r/>
    </w:p>
    <w:p>
      <w:pPr>
        <w:pStyle w:val="Normal"/>
        <w:spacing w:lineRule="auto" w:line="276"/>
        <w:jc w:val="both"/>
        <w:rPr>
          <w:sz w:val="22"/>
          <w:i/>
          <w:b/>
          <w:sz w:val="22"/>
          <w:i/>
          <w:b/>
          <w:szCs w:val="22"/>
          <w:rFonts w:ascii="Trebuchet MS" w:hAnsi="Trebuchet MS" w:eastAsia="" w:cs="Arial" w:eastAsiaTheme="minorEastAsia"/>
          <w:lang w:val="es-CR" w:eastAsia="es-CR"/>
        </w:rPr>
      </w:pPr>
      <w:r>
        <w:rPr>
          <w:rFonts w:eastAsia="" w:cs="Arial" w:ascii="Trebuchet MS" w:hAnsi="Trebuchet MS" w:eastAsiaTheme="minorEastAsia"/>
          <w:b/>
          <w:i/>
          <w:sz w:val="22"/>
          <w:szCs w:val="22"/>
          <w:lang w:val="es-CR" w:eastAsia="es-CR"/>
        </w:rPr>
        <w:t>ACTITUDES Y VALORES</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Aprecia la psicología del desarrollo como área básica para construir el conocimiento básico sobre el ser humano que cada profesional en Psicología debe tener.</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Considera los aportes de las distintas teorías del desarrollo humano para comprender los procesos psicológicos característicos de la adultez y adultez mayor.</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 xml:space="preserve">Valora la relevancia de los distintos métodos de investigación desarrollados para la medición del desarrollo durante la adultez y la adultez mayor. </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 xml:space="preserve">Aprecia y considera la investigación empírica y sistemática realizada desde la psicología del desarrollo como insumo fundamental para la comprensión, acción e intervención psicológica con personas adultas y adultas mayores. </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Valora y empatiza con la persona adulta y adulta mayor como agente de su propio desarrollo (actitud transversal).</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Respeto a las diversidades</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Responsabilidad social</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Compromiso ciudadano y ético</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Solidaridad</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Reflexión crítica</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Empatía y sensibilidad</w:t>
      </w:r>
      <w:r/>
    </w:p>
    <w:p>
      <w:pPr>
        <w:pStyle w:val="Normal"/>
        <w:numPr>
          <w:ilvl w:val="0"/>
          <w:numId w:val="7"/>
        </w:numPr>
        <w:jc w:val="both"/>
        <w:rPr>
          <w:sz w:val="22"/>
          <w:sz w:val="22"/>
          <w:szCs w:val="22"/>
          <w:rFonts w:ascii="Trebuchet MS" w:hAnsi="Trebuchet MS" w:eastAsia="" w:cs="Arial" w:eastAsiaTheme="minorEastAsia"/>
          <w:lang w:val="es-CR" w:eastAsia="es-CR"/>
        </w:rPr>
      </w:pPr>
      <w:r>
        <w:rPr>
          <w:rFonts w:eastAsia="" w:cs="Arial" w:ascii="Trebuchet MS" w:hAnsi="Trebuchet MS" w:eastAsiaTheme="minorEastAsia"/>
          <w:sz w:val="22"/>
          <w:szCs w:val="22"/>
          <w:lang w:val="es-CR" w:eastAsia="es-CR"/>
        </w:rPr>
        <w:t>Tolerancia y perseverancia ante la adversidad.</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ejes temáticos y subtemas</w:t>
      </w:r>
      <w:r/>
    </w:p>
    <w:p>
      <w:pPr>
        <w:pStyle w:val="Normal"/>
        <w:jc w:val="both"/>
        <w:rPr>
          <w:sz w:val="22"/>
          <w:sz w:val="22"/>
          <w:szCs w:val="22"/>
          <w:rFonts w:ascii="Trebuchet MS" w:hAnsi="Trebuchet MS"/>
          <w:lang w:val="es-CR"/>
        </w:rPr>
      </w:pPr>
      <w:r>
        <w:rPr>
          <w:rFonts w:ascii="Trebuchet MS" w:hAnsi="Trebuchet MS"/>
          <w:sz w:val="22"/>
          <w:szCs w:val="22"/>
          <w:lang w:val="es-CR"/>
        </w:rPr>
        <w:t>Organización del curso.  Presentación de programa.</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mallCaps/>
          <w:sz w:val="22"/>
          <w:u w:val="single"/>
          <w:b/>
          <w:sz w:val="22"/>
          <w:b/>
          <w:szCs w:val="22"/>
          <w:rFonts w:ascii="Trebuchet MS" w:hAnsi="Trebuchet MS"/>
          <w:lang w:val="es-CR"/>
        </w:rPr>
      </w:pPr>
      <w:r>
        <w:rPr>
          <w:rFonts w:ascii="Trebuchet MS" w:hAnsi="Trebuchet MS"/>
          <w:b/>
          <w:smallCaps/>
          <w:sz w:val="22"/>
          <w:szCs w:val="22"/>
          <w:lang w:val="es-CR"/>
        </w:rPr>
        <w:t xml:space="preserve">eje temático i: </w:t>
      </w:r>
      <w:r>
        <w:rPr>
          <w:rFonts w:ascii="Trebuchet MS" w:hAnsi="Trebuchet MS"/>
          <w:b/>
          <w:smallCaps/>
          <w:sz w:val="22"/>
          <w:szCs w:val="22"/>
          <w:u w:val="single"/>
          <w:lang w:val="es-CR"/>
        </w:rPr>
        <w:t>contexto</w:t>
      </w:r>
      <w:r/>
    </w:p>
    <w:p>
      <w:pPr>
        <w:pStyle w:val="ListParagraph"/>
        <w:numPr>
          <w:ilvl w:val="0"/>
          <w:numId w:val="1"/>
        </w:numPr>
        <w:ind w:left="567" w:hanging="567"/>
        <w:jc w:val="both"/>
        <w:rPr>
          <w:sz w:val="22"/>
          <w:sz w:val="22"/>
          <w:szCs w:val="22"/>
          <w:rFonts w:ascii="Trebuchet MS" w:hAnsi="Trebuchet MS"/>
          <w:lang w:val="es-CR"/>
        </w:rPr>
      </w:pPr>
      <w:r>
        <w:rPr>
          <w:rFonts w:ascii="Trebuchet MS" w:hAnsi="Trebuchet MS"/>
          <w:sz w:val="22"/>
          <w:szCs w:val="22"/>
          <w:lang w:val="es-CR"/>
        </w:rPr>
        <w:t>Introducción, vida adulta, mediana edad</w:t>
      </w:r>
      <w:r/>
    </w:p>
    <w:p>
      <w:pPr>
        <w:pStyle w:val="ListParagraph"/>
        <w:numPr>
          <w:ilvl w:val="0"/>
          <w:numId w:val="1"/>
        </w:numPr>
        <w:ind w:left="567" w:hanging="567"/>
        <w:jc w:val="both"/>
        <w:rPr>
          <w:sz w:val="22"/>
          <w:sz w:val="22"/>
          <w:szCs w:val="22"/>
          <w:rFonts w:ascii="Trebuchet MS" w:hAnsi="Trebuchet MS"/>
          <w:lang w:val="es-CR"/>
        </w:rPr>
      </w:pPr>
      <w:r>
        <w:rPr>
          <w:rFonts w:ascii="Trebuchet MS" w:hAnsi="Trebuchet MS"/>
          <w:sz w:val="22"/>
          <w:szCs w:val="22"/>
          <w:lang w:val="es-CR"/>
        </w:rPr>
        <w:t>Principios teóricos y metodológicos de la Psicología del envejecimiento</w:t>
      </w:r>
      <w:r/>
    </w:p>
    <w:p>
      <w:pPr>
        <w:pStyle w:val="ListParagraph"/>
        <w:numPr>
          <w:ilvl w:val="0"/>
          <w:numId w:val="1"/>
        </w:numPr>
        <w:ind w:left="567" w:hanging="567"/>
        <w:jc w:val="both"/>
        <w:rPr>
          <w:sz w:val="22"/>
          <w:sz w:val="22"/>
          <w:szCs w:val="22"/>
          <w:rFonts w:ascii="Trebuchet MS" w:hAnsi="Trebuchet MS"/>
          <w:lang w:val="es-CR"/>
        </w:rPr>
      </w:pPr>
      <w:r>
        <w:rPr>
          <w:rFonts w:ascii="Trebuchet MS" w:hAnsi="Trebuchet MS"/>
          <w:sz w:val="22"/>
          <w:szCs w:val="22"/>
          <w:lang w:val="es-CR"/>
        </w:rPr>
        <w:t>Fenómeno de la transición demográfica o envejecimiento de la población</w:t>
      </w:r>
      <w:r/>
    </w:p>
    <w:p>
      <w:pPr>
        <w:pStyle w:val="Normal"/>
        <w:jc w:val="both"/>
        <w:rPr>
          <w:smallCaps/>
          <w:sz w:val="22"/>
          <w:b/>
          <w:sz w:val="22"/>
          <w:b/>
          <w:szCs w:val="22"/>
          <w:rFonts w:ascii="Trebuchet MS" w:hAnsi="Trebuchet MS"/>
          <w:lang w:val="es-CR"/>
        </w:rPr>
      </w:pPr>
      <w:r>
        <w:rPr>
          <w:rFonts w:ascii="Trebuchet MS" w:hAnsi="Trebuchet MS"/>
          <w:sz w:val="22"/>
          <w:szCs w:val="22"/>
          <w:lang w:val="es-CR"/>
        </w:rPr>
        <w:t xml:space="preserve">     </w:t>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 xml:space="preserve">eje temático ii: </w:t>
      </w:r>
      <w:r>
        <w:rPr>
          <w:rFonts w:ascii="Trebuchet MS" w:hAnsi="Trebuchet MS"/>
          <w:b/>
          <w:smallCaps/>
          <w:sz w:val="22"/>
          <w:szCs w:val="22"/>
          <w:u w:val="single"/>
          <w:lang w:val="es-CR"/>
        </w:rPr>
        <w:t>desarrollo cognoscitivo</w:t>
      </w:r>
      <w:r/>
    </w:p>
    <w:p>
      <w:pPr>
        <w:pStyle w:val="ListParagraph"/>
        <w:numPr>
          <w:ilvl w:val="0"/>
          <w:numId w:val="2"/>
        </w:numPr>
        <w:ind w:left="567" w:hanging="567"/>
        <w:jc w:val="both"/>
        <w:rPr>
          <w:sz w:val="22"/>
          <w:sz w:val="22"/>
          <w:szCs w:val="22"/>
          <w:rFonts w:ascii="Trebuchet MS" w:hAnsi="Trebuchet MS"/>
          <w:lang w:val="es-CR"/>
        </w:rPr>
      </w:pPr>
      <w:r>
        <w:rPr>
          <w:rFonts w:ascii="Trebuchet MS" w:hAnsi="Trebuchet MS"/>
          <w:sz w:val="22"/>
          <w:szCs w:val="22"/>
          <w:lang w:val="es-CR"/>
        </w:rPr>
        <w:t>Desarrollo físico en la vejez</w:t>
      </w:r>
      <w:r/>
    </w:p>
    <w:p>
      <w:pPr>
        <w:pStyle w:val="ListParagraph"/>
        <w:numPr>
          <w:ilvl w:val="0"/>
          <w:numId w:val="2"/>
        </w:numPr>
        <w:ind w:left="567" w:hanging="567"/>
        <w:jc w:val="both"/>
        <w:rPr>
          <w:sz w:val="22"/>
          <w:sz w:val="22"/>
          <w:szCs w:val="22"/>
          <w:rFonts w:ascii="Trebuchet MS" w:hAnsi="Trebuchet MS"/>
          <w:lang w:val="es-CR"/>
        </w:rPr>
      </w:pPr>
      <w:r>
        <w:rPr>
          <w:rFonts w:ascii="Trebuchet MS" w:hAnsi="Trebuchet MS"/>
          <w:sz w:val="22"/>
          <w:szCs w:val="22"/>
          <w:lang w:val="es-CR"/>
        </w:rPr>
        <w:t>Cognición y comprensión socio-cognoscitiva en la vejez</w:t>
      </w:r>
      <w:r/>
    </w:p>
    <w:p>
      <w:pPr>
        <w:pStyle w:val="ListParagraph"/>
        <w:ind w:left="426" w:hanging="426"/>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 xml:space="preserve">eje temático iii: </w:t>
      </w:r>
      <w:r>
        <w:rPr>
          <w:rFonts w:ascii="Trebuchet MS" w:hAnsi="Trebuchet MS"/>
          <w:b/>
          <w:smallCaps/>
          <w:sz w:val="22"/>
          <w:szCs w:val="22"/>
          <w:u w:val="single"/>
          <w:lang w:val="es-CR"/>
        </w:rPr>
        <w:t>desarrollo socioemocional</w:t>
      </w:r>
      <w:r/>
    </w:p>
    <w:p>
      <w:pPr>
        <w:pStyle w:val="ListParagraph"/>
        <w:numPr>
          <w:ilvl w:val="0"/>
          <w:numId w:val="3"/>
        </w:numPr>
        <w:ind w:left="567" w:hanging="567"/>
        <w:jc w:val="both"/>
        <w:rPr>
          <w:sz w:val="22"/>
          <w:sz w:val="22"/>
          <w:szCs w:val="22"/>
          <w:rFonts w:ascii="Trebuchet MS" w:hAnsi="Trebuchet MS"/>
          <w:lang w:val="es-CR"/>
        </w:rPr>
      </w:pPr>
      <w:r>
        <w:rPr>
          <w:rFonts w:ascii="Trebuchet MS" w:hAnsi="Trebuchet MS"/>
          <w:sz w:val="22"/>
          <w:szCs w:val="22"/>
          <w:lang w:val="es-CR"/>
        </w:rPr>
        <w:t>Amor, sexualidad y pareja</w:t>
      </w:r>
      <w:r/>
    </w:p>
    <w:p>
      <w:pPr>
        <w:pStyle w:val="ListParagraph"/>
        <w:numPr>
          <w:ilvl w:val="0"/>
          <w:numId w:val="3"/>
        </w:numPr>
        <w:ind w:left="567" w:hanging="567"/>
        <w:jc w:val="both"/>
        <w:rPr>
          <w:sz w:val="22"/>
          <w:sz w:val="22"/>
          <w:szCs w:val="22"/>
          <w:rFonts w:ascii="Trebuchet MS" w:hAnsi="Trebuchet MS"/>
          <w:lang w:val="es-CR"/>
        </w:rPr>
      </w:pPr>
      <w:r>
        <w:rPr>
          <w:rFonts w:ascii="Trebuchet MS" w:hAnsi="Trebuchet MS"/>
          <w:sz w:val="22"/>
          <w:szCs w:val="22"/>
          <w:lang w:val="es-CR"/>
        </w:rPr>
        <w:t>Desarrollo personal</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 xml:space="preserve">eje temático iv: </w:t>
      </w:r>
      <w:r>
        <w:rPr>
          <w:rFonts w:ascii="Trebuchet MS" w:hAnsi="Trebuchet MS"/>
          <w:b/>
          <w:smallCaps/>
          <w:sz w:val="22"/>
          <w:szCs w:val="22"/>
          <w:u w:val="single"/>
          <w:lang w:val="es-CR"/>
        </w:rPr>
        <w:t>interacción social e integración</w:t>
      </w:r>
      <w:r/>
    </w:p>
    <w:p>
      <w:pPr>
        <w:pStyle w:val="ListParagraph"/>
        <w:numPr>
          <w:ilvl w:val="0"/>
          <w:numId w:val="4"/>
        </w:numPr>
        <w:ind w:left="567" w:hanging="567"/>
        <w:jc w:val="both"/>
        <w:rPr>
          <w:sz w:val="22"/>
          <w:sz w:val="22"/>
          <w:szCs w:val="22"/>
          <w:rFonts w:ascii="Trebuchet MS" w:hAnsi="Trebuchet MS"/>
          <w:lang w:val="es-CR"/>
        </w:rPr>
      </w:pPr>
      <w:r>
        <w:rPr>
          <w:rFonts w:ascii="Trebuchet MS" w:hAnsi="Trebuchet MS"/>
          <w:sz w:val="22"/>
          <w:szCs w:val="22"/>
          <w:lang w:val="es-CR"/>
        </w:rPr>
        <w:t>Imaginario social, viejismo y procesos de discriminación social</w:t>
      </w:r>
      <w:r/>
    </w:p>
    <w:p>
      <w:pPr>
        <w:pStyle w:val="ListParagraph"/>
        <w:numPr>
          <w:ilvl w:val="0"/>
          <w:numId w:val="4"/>
        </w:numPr>
        <w:ind w:left="567" w:hanging="567"/>
        <w:jc w:val="both"/>
        <w:rPr>
          <w:sz w:val="22"/>
          <w:sz w:val="22"/>
          <w:szCs w:val="22"/>
          <w:rFonts w:ascii="Trebuchet MS" w:hAnsi="Trebuchet MS"/>
          <w:lang w:val="es-CR"/>
        </w:rPr>
      </w:pPr>
      <w:r>
        <w:rPr>
          <w:rFonts w:ascii="Trebuchet MS" w:hAnsi="Trebuchet MS"/>
          <w:sz w:val="22"/>
          <w:szCs w:val="22"/>
          <w:lang w:val="es-CR"/>
        </w:rPr>
        <w:t>Desarrollo social: familia, trabajo, jubilación, generatividad e integridad, institucionalización y maltrato de las personas adultas mayores</w:t>
      </w:r>
      <w:r/>
    </w:p>
    <w:p>
      <w:pPr>
        <w:pStyle w:val="Normal"/>
        <w:numPr>
          <w:ilvl w:val="0"/>
          <w:numId w:val="4"/>
        </w:numPr>
        <w:ind w:left="567" w:hanging="567"/>
        <w:jc w:val="both"/>
        <w:rPr>
          <w:sz w:val="22"/>
          <w:sz w:val="22"/>
          <w:szCs w:val="22"/>
          <w:rFonts w:ascii="Trebuchet MS" w:hAnsi="Trebuchet MS"/>
          <w:lang w:val="es-CR"/>
        </w:rPr>
      </w:pPr>
      <w:r>
        <w:rPr>
          <w:rFonts w:ascii="Trebuchet MS" w:hAnsi="Trebuchet MS"/>
          <w:sz w:val="22"/>
          <w:szCs w:val="22"/>
          <w:lang w:val="es-CR"/>
        </w:rPr>
        <w:t>La muerte y el morir en la persona adulta mayor</w:t>
      </w:r>
      <w:r/>
    </w:p>
    <w:p>
      <w:pPr>
        <w:pStyle w:val="Normal"/>
        <w:numPr>
          <w:ilvl w:val="0"/>
          <w:numId w:val="4"/>
        </w:numPr>
        <w:ind w:left="567" w:hanging="567"/>
        <w:jc w:val="both"/>
        <w:rPr>
          <w:sz w:val="22"/>
          <w:sz w:val="22"/>
          <w:szCs w:val="22"/>
          <w:rFonts w:ascii="Trebuchet MS" w:hAnsi="Trebuchet MS"/>
          <w:lang w:val="es-CR"/>
        </w:rPr>
      </w:pPr>
      <w:r>
        <w:rPr>
          <w:rFonts w:ascii="Trebuchet MS" w:hAnsi="Trebuchet MS"/>
          <w:sz w:val="22"/>
          <w:szCs w:val="22"/>
          <w:lang w:val="es-CR"/>
        </w:rPr>
        <w:t>Biomedicalización del envejecimiento, procesos de inconsciencia, subjetividad y dominación social.  Relevancia del autoconcepto, la percepción de control y la autoeficacia al envejecer</w:t>
      </w:r>
      <w:r/>
    </w:p>
    <w:p>
      <w:pPr>
        <w:pStyle w:val="Normal"/>
        <w:numPr>
          <w:ilvl w:val="0"/>
          <w:numId w:val="4"/>
        </w:numPr>
        <w:ind w:left="567" w:hanging="567"/>
        <w:jc w:val="both"/>
        <w:rPr>
          <w:sz w:val="22"/>
          <w:sz w:val="22"/>
          <w:szCs w:val="22"/>
          <w:rFonts w:ascii="Trebuchet MS" w:hAnsi="Trebuchet MS"/>
          <w:lang w:val="es-CR"/>
        </w:rPr>
      </w:pPr>
      <w:r>
        <w:rPr>
          <w:rFonts w:ascii="Trebuchet MS" w:hAnsi="Trebuchet MS"/>
          <w:sz w:val="22"/>
          <w:szCs w:val="22"/>
          <w:lang w:val="es-CR"/>
        </w:rPr>
        <w:t>Retos para la psicogerontología hoy</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didáctica y evaluación</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z w:val="22"/>
          <w:sz w:val="22"/>
          <w:szCs w:val="22"/>
          <w:rFonts w:ascii="Trebuchet MS" w:hAnsi="Trebuchet MS"/>
          <w:lang w:val="es-CR"/>
        </w:rPr>
      </w:pPr>
      <w:r>
        <w:rPr>
          <w:rFonts w:ascii="Trebuchet MS" w:hAnsi="Trebuchet MS"/>
          <w:sz w:val="22"/>
          <w:szCs w:val="22"/>
          <w:lang w:val="es-CR"/>
        </w:rPr>
        <w:t xml:space="preserve">En este curso se trabajará en el aula según la modalidad específica propuesta por cada docente. Esto incluye: lecciones magistrales, trabajos en grupo, exposiciones de estudiantes, ejercicios de ilustración de la teoría, tareas, películas, etc. </w:t>
      </w:r>
      <w:r/>
    </w:p>
    <w:p>
      <w:pPr>
        <w:pStyle w:val="Normal"/>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jc w:val="both"/>
        <w:rPr>
          <w:sz w:val="22"/>
          <w:sz w:val="22"/>
          <w:szCs w:val="22"/>
          <w:rFonts w:ascii="Trebuchet MS" w:hAnsi="Trebuchet MS"/>
          <w:lang w:val="es-CR"/>
        </w:rPr>
      </w:pPr>
      <w:r>
        <w:rPr>
          <w:rFonts w:ascii="Trebuchet MS" w:hAnsi="Trebuchet MS"/>
          <w:sz w:val="22"/>
          <w:szCs w:val="22"/>
          <w:lang w:val="es-CR"/>
        </w:rPr>
        <w:t xml:space="preserve">La evaluación también se llevará a cabo según el planteo específico de cada docente. Podrían darse: evaluaciones parciales, exámenes cortos en cada clase, tareas, portafolios de investigación, investigaciones cortas, etc. </w:t>
      </w:r>
      <w:r/>
    </w:p>
    <w:p>
      <w:pPr>
        <w:pStyle w:val="Normal"/>
        <w:jc w:val="both"/>
        <w:rPr>
          <w:smallCaps/>
          <w:sz w:val="22"/>
          <w:b/>
          <w:sz w:val="22"/>
          <w:b/>
          <w:szCs w:val="22"/>
          <w:rFonts w:ascii="Trebuchet MS" w:hAnsi="Trebuchet MS" w:eastAsia="Times New Roman"/>
          <w:lang w:val="es-CR" w:eastAsia="es-ES"/>
        </w:rPr>
      </w:pPr>
      <w:r>
        <w:rPr>
          <w:rFonts w:ascii="Trebuchet MS" w:hAnsi="Trebuchet MS"/>
          <w:b/>
          <w:smallCaps/>
          <w:sz w:val="22"/>
          <w:szCs w:val="22"/>
          <w:lang w:val="es-CR"/>
        </w:rPr>
      </w:r>
      <w:r/>
    </w:p>
    <w:p>
      <w:pPr>
        <w:pStyle w:val="Normal"/>
        <w:jc w:val="both"/>
        <w:rPr>
          <w:smallCaps/>
          <w:sz w:val="22"/>
          <w:b/>
          <w:sz w:val="22"/>
          <w:b/>
          <w:szCs w:val="22"/>
          <w:rFonts w:ascii="Trebuchet MS" w:hAnsi="Trebuchet MS"/>
          <w:lang w:val="es-CR"/>
        </w:rPr>
      </w:pPr>
      <w:r>
        <w:rPr>
          <w:rFonts w:ascii="Trebuchet MS" w:hAnsi="Trebuchet MS"/>
          <w:b/>
          <w:smallCaps/>
          <w:sz w:val="22"/>
          <w:szCs w:val="22"/>
          <w:lang w:val="es-CR"/>
        </w:rPr>
        <w:t>cronograma</w:t>
      </w:r>
      <w:r/>
    </w:p>
    <w:p>
      <w:pPr>
        <w:pStyle w:val="Normal"/>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jc w:val="both"/>
        <w:rPr>
          <w:sz w:val="22"/>
          <w:sz w:val="22"/>
          <w:szCs w:val="22"/>
          <w:rFonts w:ascii="Trebuchet MS" w:hAnsi="Trebuchet MS"/>
          <w:lang w:val="es-CR"/>
        </w:rPr>
      </w:pPr>
      <w:r>
        <w:rPr>
          <w:rFonts w:ascii="Trebuchet MS" w:hAnsi="Trebuchet MS"/>
          <w:sz w:val="22"/>
          <w:szCs w:val="22"/>
          <w:lang w:val="es-CR"/>
        </w:rPr>
        <w:t>Cada docente abordará el desarrollo de los diferentes ejes temáticos y sus subtemas, de acuerdo con la metodología y la evaluación respectiva, correspondiente a su grupo. Para ello, entregará un cronograma detallado.</w:t>
      </w:r>
      <w:r/>
    </w:p>
    <w:p>
      <w:pPr>
        <w:pStyle w:val="Encabezado2"/>
        <w:jc w:val="both"/>
        <w:rPr>
          <w:smallCaps/>
          <w:sz w:val="22"/>
          <w:b/>
          <w:sz w:val="22"/>
          <w:b/>
          <w:szCs w:val="22"/>
          <w:bCs/>
          <w:rFonts w:ascii="Trebuchet MS" w:hAnsi="Trebuchet MS" w:eastAsia="Times New Roman"/>
          <w:lang w:val="es-CR" w:eastAsia="es-ES"/>
        </w:rPr>
      </w:pPr>
      <w:r>
        <w:rPr>
          <w:rFonts w:ascii="Trebuchet MS" w:hAnsi="Trebuchet MS"/>
          <w:smallCaps/>
          <w:szCs w:val="22"/>
        </w:rPr>
      </w:r>
      <w:r/>
    </w:p>
    <w:p>
      <w:pPr>
        <w:pStyle w:val="Encabezado2"/>
        <w:jc w:val="both"/>
        <w:rPr>
          <w:smallCaps/>
          <w:sz w:val="22"/>
          <w:b/>
          <w:sz w:val="22"/>
          <w:b/>
          <w:szCs w:val="22"/>
          <w:bCs/>
          <w:rFonts w:ascii="Trebuchet MS" w:hAnsi="Trebuchet MS" w:eastAsia="Times New Roman"/>
          <w:lang w:val="es-CR" w:eastAsia="es-ES"/>
        </w:rPr>
      </w:pPr>
      <w:r>
        <w:rPr>
          <w:rFonts w:ascii="Trebuchet MS" w:hAnsi="Trebuchet MS"/>
          <w:smallCaps/>
          <w:szCs w:val="22"/>
        </w:rPr>
      </w:r>
      <w:r/>
    </w:p>
    <w:p>
      <w:pPr>
        <w:pStyle w:val="Encabezado2"/>
        <w:jc w:val="both"/>
        <w:rPr>
          <w:smallCaps/>
          <w:szCs w:val="22"/>
          <w:rFonts w:ascii="Trebuchet MS" w:hAnsi="Trebuchet MS"/>
        </w:rPr>
      </w:pPr>
      <w:r>
        <w:rPr>
          <w:rFonts w:ascii="Trebuchet MS" w:hAnsi="Trebuchet MS"/>
          <w:smallCaps/>
          <w:szCs w:val="22"/>
        </w:rPr>
        <w:t>bibliografía</w:t>
      </w:r>
      <w:r/>
    </w:p>
    <w:p>
      <w:pPr>
        <w:pStyle w:val="Normal"/>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Aducci, Eduardo (1987).  Psicoanálisis de la vejez.  Buenos Aires, Argentina: Kargieman</w:t>
      </w:r>
      <w:r/>
    </w:p>
    <w:p>
      <w:pPr>
        <w:pStyle w:val="Normal"/>
        <w:widowControl w:val="false"/>
        <w:tabs>
          <w:tab w:val="left" w:pos="0" w:leader="none"/>
          <w:tab w:val="left" w:pos="142"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774"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s>
        <w:suppressAutoHyphens w:val="true"/>
        <w:ind w:left="567" w:hanging="567"/>
        <w:jc w:val="both"/>
        <w:rPr>
          <w:sz w:val="22"/>
          <w:sz w:val="22"/>
          <w:szCs w:val="22"/>
          <w:rFonts w:ascii="Trebuchet MS" w:hAnsi="Trebuchet MS"/>
          <w:lang w:val="es-CR"/>
        </w:rPr>
      </w:pPr>
      <w:r>
        <w:rPr>
          <w:rFonts w:ascii="Trebuchet MS" w:hAnsi="Trebuchet MS"/>
          <w:sz w:val="22"/>
          <w:szCs w:val="22"/>
          <w:lang w:val="es-CR"/>
        </w:rPr>
        <w:t>Améry, Jean (2001).  Revuelta y Resignación.  Acerca del envejecer. Trad. Marisa  Siguan Boehmen y Eduardo Aznar Anglès.  España: Editorial PRE-TEXTOS.</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Baltes, P.B. (1983). Psicología evolutiva del ciclo vital. Algunas observaciones convergentes sobre historia y teoría. En A. Marchesi, M. Carretero y J. Palacios (comp.), </w:t>
      </w:r>
      <w:r>
        <w:rPr>
          <w:rFonts w:ascii="Trebuchet MS" w:hAnsi="Trebuchet MS"/>
          <w:i/>
          <w:sz w:val="22"/>
          <w:szCs w:val="22"/>
          <w:lang w:val="es-CR"/>
        </w:rPr>
        <w:t>Psicología evolutiva. 1.- Teorías y métodos</w:t>
      </w:r>
      <w:r>
        <w:rPr>
          <w:rFonts w:ascii="Trebuchet MS" w:hAnsi="Trebuchet MS"/>
          <w:sz w:val="22"/>
          <w:szCs w:val="22"/>
          <w:lang w:val="es-CR"/>
        </w:rPr>
        <w:t xml:space="preserve"> (pp. 247-267). Madrid: Alianza.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Baltes, P.B. y  Smith, J. (2002). </w:t>
      </w:r>
      <w:r>
        <w:rPr>
          <w:rFonts w:ascii="Trebuchet MS" w:hAnsi="Trebuchet MS"/>
          <w:i/>
          <w:sz w:val="22"/>
          <w:szCs w:val="22"/>
          <w:lang w:val="en-US"/>
        </w:rPr>
        <w:t>New frontiers in the future of aging: From successful aging of the young old to the dilemmas of the fourth age</w:t>
      </w:r>
      <w:r>
        <w:rPr>
          <w:rFonts w:ascii="Trebuchet MS" w:hAnsi="Trebuchet MS"/>
          <w:sz w:val="22"/>
          <w:szCs w:val="22"/>
          <w:lang w:val="en-US"/>
        </w:rPr>
        <w:t xml:space="preserve">. </w:t>
      </w:r>
      <w:r>
        <w:rPr>
          <w:rFonts w:ascii="Trebuchet MS" w:hAnsi="Trebuchet MS"/>
          <w:sz w:val="22"/>
          <w:szCs w:val="22"/>
          <w:lang w:val="es-CR"/>
        </w:rPr>
        <w:t xml:space="preserve">Foro de Valencia, 1 al 4 de abril de 2002, conferencia plenaria, pp. 3-35. </w:t>
      </w:r>
      <w:r/>
    </w:p>
    <w:p>
      <w:pPr>
        <w:pStyle w:val="Normal"/>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774"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s>
        <w:suppressAutoHyphens w:val="true"/>
        <w:ind w:left="567" w:hanging="567"/>
        <w:jc w:val="both"/>
        <w:rPr>
          <w:sz w:val="22"/>
          <w:sz w:val="22"/>
          <w:szCs w:val="22"/>
          <w:rFonts w:ascii="Trebuchet MS" w:hAnsi="Trebuchet MS"/>
          <w:lang w:val="es-CR"/>
        </w:rPr>
      </w:pPr>
      <w:r>
        <w:rPr>
          <w:rFonts w:ascii="Trebuchet MS" w:hAnsi="Trebuchet MS"/>
          <w:sz w:val="22"/>
          <w:szCs w:val="22"/>
          <w:lang w:val="es-CR"/>
        </w:rPr>
        <w:t>Barquero, J. (1996)  Contribuciones.  La población de 60 años y más en Costa Rica.  Dinámica demográfica y situación actual.  Instituto de Investigaciones Sociales.  Universidad de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Bonilla, Flory Stella, et al (1998).  Plenitud después de los 60: proyecto de toda una vida.  Editorial de la Universidad de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Burín, Mabel y Meler, Irene (1999).  Género y Familia.  Poder, amor y sexualidad en la construcción de la subjetividad.  Buenos Aires: Editorial Paidós.</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Butler, R. y Lewis, M. (1988).  Amor y sexualidad después de los 40.  Barcelona, España.  Ediciones Martínez Roca S.A.  </w:t>
      </w:r>
      <w:r/>
    </w:p>
    <w:p>
      <w:pPr>
        <w:pStyle w:val="Normal"/>
        <w:ind w:left="567" w:hanging="567"/>
        <w:jc w:val="both"/>
        <w:rPr>
          <w:sz w:val="22"/>
          <w:sz w:val="22"/>
          <w:szCs w:val="22"/>
          <w:bCs/>
          <w:rFonts w:ascii="Trebuchet MS" w:hAnsi="Trebuchet MS"/>
        </w:rPr>
      </w:pPr>
      <w:r>
        <w:rPr>
          <w:rFonts w:ascii="Trebuchet MS" w:hAnsi="Trebuchet MS"/>
          <w:bCs/>
          <w:iCs/>
          <w:sz w:val="22"/>
          <w:szCs w:val="22"/>
        </w:rPr>
        <w:t xml:space="preserve">Carpintero, Enrique (2007).  </w:t>
      </w:r>
      <w:r>
        <w:rPr>
          <w:rFonts w:ascii="Trebuchet MS" w:hAnsi="Trebuchet MS"/>
          <w:bCs/>
          <w:sz w:val="22"/>
          <w:szCs w:val="22"/>
        </w:rPr>
        <w:t xml:space="preserve">La medicalización de la vida cotidiana.  En: Topía, Año XVI, 49, Abril 2007.  La sociedad del asfalto. Extraído desde </w:t>
      </w:r>
      <w:hyperlink r:id="rId4">
        <w:r>
          <w:rPr>
            <w:rStyle w:val="EnlacedeInternet"/>
            <w:rFonts w:ascii="Trebuchet MS" w:hAnsi="Trebuchet MS"/>
            <w:bCs/>
            <w:color w:val="00000A"/>
            <w:sz w:val="22"/>
            <w:szCs w:val="22"/>
          </w:rPr>
          <w:t>http://topia.com.ar/default.htm</w:t>
        </w:r>
      </w:hyperlink>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Carretero, Mario; Palacios, Jesús y Marchesi Alvaro (2000).  Psicología Evolutiva 3.  Adolescencia, madures y senectud.  Madrid: Alianza Editorial.</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Carstensen, L. y Edelstein, B. (1989).  Gerontología Clínica.  El envejecimiento y sus trastornos.   Barcelona, España.  Ediciones Martínez Roca S.A.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Carstensen, L. y Edelstein, B.(1990).  Gerontología Clínica.  Intervención psicológica y social.  Barcelona, España.  Ediciones Martínez Roca S.A.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Delval, J. (1994). El desarrollo humano. Madrid: Siglo XXI.</w:t>
      </w:r>
      <w:r/>
    </w:p>
    <w:p>
      <w:pPr>
        <w:pStyle w:val="Normal"/>
        <w:widowControl w:val="false"/>
        <w:ind w:left="567" w:hanging="567"/>
        <w:jc w:val="both"/>
        <w:rPr>
          <w:sz w:val="22"/>
          <w:sz w:val="22"/>
          <w:szCs w:val="22"/>
          <w:rFonts w:ascii="Trebuchet MS" w:hAnsi="Trebuchet MS"/>
          <w:lang w:val="es-CR"/>
        </w:rPr>
      </w:pPr>
      <w:r>
        <w:rPr>
          <w:rFonts w:ascii="Trebuchet MS" w:hAnsi="Trebuchet MS"/>
          <w:sz w:val="22"/>
          <w:szCs w:val="22"/>
          <w:lang w:val="es-CR"/>
        </w:rPr>
        <w:t>Erdheim, M. (2003). La producción social de inconsciencia. Una introducción al proceso Etnopsicoanalítico. (1a. ed.) México: Siglo XXI Editores.</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Erickson, E.H. (1993).  </w:t>
      </w:r>
      <w:r>
        <w:rPr>
          <w:rFonts w:ascii="Trebuchet MS" w:hAnsi="Trebuchet MS"/>
          <w:i/>
          <w:sz w:val="22"/>
          <w:szCs w:val="22"/>
          <w:lang w:val="es-CR"/>
        </w:rPr>
        <w:t>El ciclo vital completado</w:t>
      </w:r>
      <w:r>
        <w:rPr>
          <w:rFonts w:ascii="Trebuchet MS" w:hAnsi="Trebuchet MS"/>
          <w:sz w:val="22"/>
          <w:szCs w:val="22"/>
          <w:lang w:val="es-CR"/>
        </w:rPr>
        <w:t xml:space="preserve">.  México, DF: Editorial Paidós.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Feeney, J. y Noller, P. (1996/2001). </w:t>
      </w:r>
      <w:r>
        <w:rPr>
          <w:rFonts w:ascii="Trebuchet MS" w:hAnsi="Trebuchet MS"/>
          <w:i/>
          <w:sz w:val="22"/>
          <w:szCs w:val="22"/>
          <w:lang w:val="es-CR"/>
        </w:rPr>
        <w:t>Apego adulto</w:t>
      </w:r>
      <w:r>
        <w:rPr>
          <w:rFonts w:ascii="Trebuchet MS" w:hAnsi="Trebuchet MS"/>
          <w:sz w:val="22"/>
          <w:szCs w:val="22"/>
          <w:lang w:val="es-CR"/>
        </w:rPr>
        <w:t>. Bilbao: Desclée.</w:t>
      </w:r>
      <w:r/>
    </w:p>
    <w:p>
      <w:pPr>
        <w:pStyle w:val="Normal"/>
        <w:widowControl w:val="false"/>
        <w:ind w:left="567" w:hanging="567"/>
        <w:jc w:val="both"/>
        <w:rPr>
          <w:sz w:val="22"/>
          <w:sz w:val="22"/>
          <w:szCs w:val="22"/>
          <w:rFonts w:ascii="Trebuchet MS" w:hAnsi="Trebuchet MS"/>
          <w:lang w:val="es-CR"/>
        </w:rPr>
      </w:pPr>
      <w:r>
        <w:rPr>
          <w:rFonts w:ascii="Trebuchet MS" w:hAnsi="Trebuchet MS"/>
          <w:sz w:val="22"/>
          <w:szCs w:val="22"/>
          <w:lang w:val="es-CR"/>
        </w:rPr>
        <w:t>Fernández Ballesteros, R. (2004).  Gerontología Social.  España: Pirámide.</w:t>
      </w:r>
      <w:r/>
    </w:p>
    <w:p>
      <w:pPr>
        <w:pStyle w:val="Normal"/>
        <w:widowControl w:val="false"/>
        <w:tabs>
          <w:tab w:val="left" w:pos="0" w:leader="none"/>
          <w:tab w:val="left" w:pos="142"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774"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s>
        <w:suppressAutoHyphens w:val="true"/>
        <w:ind w:left="567" w:hanging="567"/>
        <w:jc w:val="both"/>
        <w:rPr>
          <w:sz w:val="22"/>
          <w:sz w:val="22"/>
          <w:szCs w:val="22"/>
          <w:rFonts w:ascii="Trebuchet MS" w:hAnsi="Trebuchet MS"/>
          <w:lang w:val="es-CR"/>
        </w:rPr>
      </w:pPr>
      <w:r>
        <w:rPr>
          <w:rFonts w:ascii="Trebuchet MS" w:hAnsi="Trebuchet MS"/>
          <w:sz w:val="22"/>
          <w:szCs w:val="22"/>
          <w:lang w:val="es-CR"/>
        </w:rPr>
        <w:t>Fernández Ballesteros, R. (1996).  Psicología del envejecimiento. Crecimiento y declive.  Lección Inaugural.  Madrid, España.  Universidad Autónoma de Madrid.</w:t>
      </w:r>
      <w:r/>
    </w:p>
    <w:p>
      <w:pPr>
        <w:pStyle w:val="Normal"/>
        <w:widowControl w:val="false"/>
        <w:ind w:left="567" w:hanging="567"/>
        <w:jc w:val="both"/>
        <w:rPr>
          <w:sz w:val="22"/>
          <w:sz w:val="22"/>
          <w:szCs w:val="22"/>
          <w:rFonts w:ascii="Trebuchet MS" w:hAnsi="Trebuchet MS"/>
          <w:lang w:val="es-CR"/>
        </w:rPr>
      </w:pPr>
      <w:r>
        <w:rPr>
          <w:rFonts w:ascii="Trebuchet MS" w:hAnsi="Trebuchet MS"/>
          <w:sz w:val="22"/>
          <w:szCs w:val="22"/>
          <w:lang w:val="es-CR"/>
        </w:rPr>
        <w:t xml:space="preserve">Fernández-Ballesteros, R.; Moya, R.; Iñiguez, J. y Zamarrón, M. D. (1999).  ¿Qué es la psicología de la vejez?  Madrid: Biblioteca Nueva.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Garita Sánchez, Gustavo (2004 b). Cuando el envejecimiento es la otredad… Reflexiones Etnopsicoanalíticas acerca del envejecer. En: Giros de Aspas 7.  San José, Costa Rica: Corporación Gráfica, pp.34-52.</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Garita Sánchez, Gustavo Adolfo (2004 a).  Envejecimiento y Sexualidad: alrededor de la historicidad de su vivencia y sus determinaciones psicosocioculturales. En: Revista de Ciencias Sociales, 105.   Universidad de Costa Rica.</w:t>
      </w:r>
      <w:r/>
    </w:p>
    <w:p>
      <w:pPr>
        <w:pStyle w:val="Normal"/>
        <w:widowControl w:val="false"/>
        <w:tabs>
          <w:tab w:val="left" w:pos="0" w:leader="none"/>
        </w:tabs>
        <w:ind w:left="567" w:hanging="567"/>
        <w:jc w:val="both"/>
        <w:rPr>
          <w:sz w:val="22"/>
          <w:sz w:val="22"/>
          <w:szCs w:val="22"/>
          <w:rFonts w:ascii="Trebuchet MS" w:hAnsi="Trebuchet MS"/>
          <w:lang w:val="es-CR"/>
        </w:rPr>
      </w:pPr>
      <w:r>
        <w:rPr>
          <w:rFonts w:ascii="Trebuchet MS" w:hAnsi="Trebuchet MS"/>
          <w:sz w:val="22"/>
          <w:szCs w:val="22"/>
          <w:lang w:val="es-CR"/>
        </w:rPr>
        <w:t>González, Eugenio (Coordinador). (2010). Psicología del ciclo vital. Cuarta Edición. España: Editorial CCS.</w:t>
      </w:r>
      <w:r/>
    </w:p>
    <w:p>
      <w:pPr>
        <w:pStyle w:val="Normal"/>
        <w:widowControl w:val="false"/>
        <w:tabs>
          <w:tab w:val="left" w:pos="0" w:leader="none"/>
        </w:tabs>
        <w:ind w:left="567" w:hanging="567"/>
        <w:jc w:val="both"/>
        <w:rPr>
          <w:sz w:val="22"/>
          <w:sz w:val="22"/>
          <w:szCs w:val="22"/>
          <w:rFonts w:ascii="Trebuchet MS" w:hAnsi="Trebuchet MS"/>
          <w:lang w:val="es-CR"/>
        </w:rPr>
      </w:pPr>
      <w:r>
        <w:rPr>
          <w:rFonts w:ascii="Trebuchet MS" w:hAnsi="Trebuchet MS"/>
          <w:sz w:val="22"/>
          <w:szCs w:val="22"/>
          <w:lang w:val="es-CR"/>
        </w:rPr>
        <w:t>Guinsberg, Enrique (2001).  La salud mental en el neoliberalismo.  México: Plaza y Valdés editores, S.A.</w:t>
      </w:r>
      <w:r/>
    </w:p>
    <w:p>
      <w:pPr>
        <w:pStyle w:val="Normal"/>
        <w:ind w:left="567" w:hanging="567"/>
        <w:jc w:val="both"/>
        <w:rPr>
          <w:sz w:val="22"/>
          <w:sz w:val="22"/>
          <w:szCs w:val="22"/>
          <w:rFonts w:ascii="Trebuchet MS" w:hAnsi="Trebuchet MS"/>
          <w:lang w:val="en-US"/>
        </w:rPr>
      </w:pPr>
      <w:r>
        <w:rPr>
          <w:rFonts w:ascii="Trebuchet MS" w:hAnsi="Trebuchet MS"/>
          <w:sz w:val="22"/>
          <w:szCs w:val="22"/>
          <w:lang w:val="es-CR"/>
        </w:rPr>
        <w:t xml:space="preserve">Hayflick, Leonard. (1994). Cómo y por qué envejecemos. </w:t>
      </w:r>
      <w:r>
        <w:rPr>
          <w:rFonts w:ascii="Trebuchet MS" w:hAnsi="Trebuchet MS"/>
          <w:sz w:val="22"/>
          <w:szCs w:val="22"/>
          <w:lang w:val="en-US"/>
        </w:rPr>
        <w:t>España: Editorial Herder.</w:t>
      </w:r>
      <w:r/>
    </w:p>
    <w:p>
      <w:pPr>
        <w:pStyle w:val="Normal"/>
        <w:ind w:left="567" w:hanging="567"/>
        <w:jc w:val="both"/>
        <w:rPr>
          <w:sz w:val="22"/>
          <w:sz w:val="22"/>
          <w:szCs w:val="22"/>
          <w:rFonts w:ascii="Trebuchet MS" w:hAnsi="Trebuchet MS"/>
          <w:lang w:val="es-CR"/>
        </w:rPr>
      </w:pPr>
      <w:r>
        <w:rPr>
          <w:rFonts w:ascii="Trebuchet MS" w:hAnsi="Trebuchet MS"/>
          <w:sz w:val="22"/>
          <w:szCs w:val="22"/>
          <w:lang w:val="en-US"/>
        </w:rPr>
        <w:t xml:space="preserve">Hofer, J.; Busch, H.; Chasiotis, A.; Kärtner, J; Campos, D. (2008). Concern for generativity and its relation to implicit pro-social power motivation, generative goals, and satisfaction with life: A cross-cultural investigation. </w:t>
      </w:r>
      <w:r>
        <w:rPr>
          <w:rFonts w:ascii="Trebuchet MS" w:hAnsi="Trebuchet MS"/>
          <w:sz w:val="22"/>
          <w:szCs w:val="22"/>
          <w:lang w:val="es-CR"/>
        </w:rPr>
        <w:t xml:space="preserve">Journal of Personality, 76:1, 1-30.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Krassoievitch, Miguel (2005).  Psicoterapia Geriátrica.  México: Fondo de Cultura económica.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Kübler-Ross. Elizabeth. (1993). Sobre la muerte y los moribundos. Grijalbo. España.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Ley integral para la persona adulta mayor (ley N° 7935).  Asamblea Legislativa.  San José, Costa Rica.</w:t>
      </w:r>
      <w:r/>
    </w:p>
    <w:p>
      <w:pPr>
        <w:pStyle w:val="Normal"/>
        <w:ind w:left="567" w:hanging="567"/>
        <w:jc w:val="both"/>
        <w:rPr>
          <w:sz w:val="22"/>
          <w:sz w:val="22"/>
          <w:szCs w:val="22"/>
          <w:rFonts w:ascii="Trebuchet MS" w:hAnsi="Trebuchet MS"/>
          <w:lang w:val="en-US"/>
        </w:rPr>
      </w:pPr>
      <w:r>
        <w:rPr>
          <w:rFonts w:ascii="Trebuchet MS" w:hAnsi="Trebuchet MS"/>
          <w:sz w:val="22"/>
          <w:szCs w:val="22"/>
          <w:lang w:val="en-US"/>
        </w:rPr>
        <w:t xml:space="preserve">Magai, C.; Coher, C.; Milburn, N.; Thorpe, B.; McPherson, R.; Peralta, D. (2001). Attachment styles in older European American and African American adults. </w:t>
      </w:r>
      <w:r>
        <w:rPr>
          <w:rFonts w:ascii="Trebuchet MS" w:hAnsi="Trebuchet MS"/>
          <w:i/>
          <w:sz w:val="22"/>
          <w:szCs w:val="22"/>
          <w:lang w:val="en-US"/>
        </w:rPr>
        <w:t>Journal of Gerontology: Social Sciences</w:t>
      </w:r>
      <w:r>
        <w:rPr>
          <w:rFonts w:ascii="Trebuchet MS" w:hAnsi="Trebuchet MS"/>
          <w:sz w:val="22"/>
          <w:szCs w:val="22"/>
          <w:lang w:val="en-US"/>
        </w:rPr>
        <w:t>, 56B, 1. S28-S35.</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Marchesi, M. Palacios, J., Carretero; M. (1983). Psicología evolutiva: problemas y perspectivas. En A. Marchesi, M. Carretero y J. Palacios (comp.), </w:t>
      </w:r>
      <w:r>
        <w:rPr>
          <w:rFonts w:ascii="Trebuchet MS" w:hAnsi="Trebuchet MS"/>
          <w:i/>
          <w:sz w:val="22"/>
          <w:szCs w:val="22"/>
          <w:lang w:val="es-CR"/>
        </w:rPr>
        <w:t>Psicología evolutiva. 1.- Teorías y métodos</w:t>
      </w:r>
      <w:r>
        <w:rPr>
          <w:rFonts w:ascii="Trebuchet MS" w:hAnsi="Trebuchet MS"/>
          <w:sz w:val="22"/>
          <w:szCs w:val="22"/>
          <w:lang w:val="es-CR"/>
        </w:rPr>
        <w:t xml:space="preserve"> (pp. 269-319). Madrid: Alianza.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Márquez Herrera, AM (2004).  Consideraciones sobre maltrato y violencia en la vejez a la luz de la calidad de vida.  Red Latinoamérica de Gerontología.  http://RED com/Canal ESTUDIOS/Monografías y Ponencias.</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Medrano Samaniego, C. (1999). El nivel de desarrollo del juicio moral en la tercera edad. Un estudio cualitativo mediante dilemas reales. En E. Pérez Delgado y V. Mestre Escrivá (Coord.) </w:t>
      </w:r>
      <w:r>
        <w:rPr>
          <w:rFonts w:ascii="Trebuchet MS" w:hAnsi="Trebuchet MS"/>
          <w:i/>
          <w:sz w:val="22"/>
          <w:szCs w:val="22"/>
          <w:lang w:val="es-CR"/>
        </w:rPr>
        <w:t>Psicología moral y crecimiento personal</w:t>
      </w:r>
      <w:r>
        <w:rPr>
          <w:rFonts w:ascii="Trebuchet MS" w:hAnsi="Trebuchet MS"/>
          <w:sz w:val="22"/>
          <w:szCs w:val="22"/>
          <w:lang w:val="es-CR"/>
        </w:rPr>
        <w:t xml:space="preserve"> (pp. 303-318). Barcelona: Ariel.</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Muñoz Tortosa, J. (2002). </w:t>
      </w:r>
      <w:r>
        <w:rPr>
          <w:rFonts w:ascii="Trebuchet MS" w:hAnsi="Trebuchet MS"/>
          <w:i/>
          <w:sz w:val="22"/>
          <w:szCs w:val="22"/>
          <w:lang w:val="es-CR"/>
        </w:rPr>
        <w:t>Psicología del envejecimiento</w:t>
      </w:r>
      <w:r>
        <w:rPr>
          <w:rFonts w:ascii="Trebuchet MS" w:hAnsi="Trebuchet MS"/>
          <w:sz w:val="22"/>
          <w:szCs w:val="22"/>
          <w:lang w:val="es-CR"/>
        </w:rPr>
        <w:t>. Madrid: Pirámide.</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Naciones Unidades (2002).  Segunda Asamblea Mundial sobre el Envejecimiento: Una sociedad para todas las edades.  Madrid, 8 al 12 de abril.</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Nazario, R.; Rubio, R.; Aleixandre, M. (2004). </w:t>
      </w:r>
      <w:r>
        <w:rPr>
          <w:rFonts w:ascii="Trebuchet MS" w:hAnsi="Trebuchet MS"/>
          <w:i/>
          <w:sz w:val="22"/>
          <w:szCs w:val="22"/>
          <w:lang w:val="es-CR"/>
        </w:rPr>
        <w:t>Introducción a la Psicogerontología</w:t>
      </w:r>
      <w:r>
        <w:rPr>
          <w:rFonts w:ascii="Trebuchet MS" w:hAnsi="Trebuchet MS"/>
          <w:sz w:val="22"/>
          <w:szCs w:val="22"/>
          <w:lang w:val="es-CR"/>
        </w:rPr>
        <w:t>. Madrid: Pirámide.</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Papalia D., Wendkos, S y Duskin, R. (2001). Desarrollo Humano. Octava Edición. McGraw Hill Interamericana. Bogotá, Colombia.</w:t>
      </w:r>
      <w:r/>
    </w:p>
    <w:p>
      <w:pPr>
        <w:pStyle w:val="Normal"/>
        <w:widowControl w:val="false"/>
        <w:ind w:left="567" w:hanging="567"/>
        <w:jc w:val="both"/>
        <w:rPr>
          <w:sz w:val="22"/>
          <w:sz w:val="22"/>
          <w:szCs w:val="22"/>
          <w:rFonts w:ascii="Trebuchet MS" w:hAnsi="Trebuchet MS"/>
          <w:lang w:val="es-CR"/>
        </w:rPr>
      </w:pPr>
      <w:r>
        <w:rPr>
          <w:rFonts w:ascii="Trebuchet MS" w:hAnsi="Trebuchet MS"/>
          <w:sz w:val="22"/>
          <w:szCs w:val="22"/>
          <w:lang w:val="es-CR"/>
        </w:rPr>
        <w:t>Pochtar, Nora y Pszemiarower (2004). Rol de las mujeres de edad mediana y avanzada. Al final del milenio. Red Latinoamericana de Gerontología.  www.gerontología.org  Canal: Estudios-monografías y ponencias-Argentina.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Psiconet.  Temas de Psicogerontología I (1997).  Programa de Seminarios por Internet.    </w:t>
      </w:r>
      <w:hyperlink r:id="rId5">
        <w:r>
          <w:rPr>
            <w:rStyle w:val="EnlacedeInternet"/>
            <w:rFonts w:ascii="Trebuchet MS" w:hAnsi="Trebuchet MS"/>
            <w:color w:val="00000A"/>
            <w:sz w:val="22"/>
            <w:szCs w:val="22"/>
            <w:lang w:val="es-CR"/>
          </w:rPr>
          <w:t>http://psiconet.com/seminarios</w:t>
        </w:r>
      </w:hyperlink>
      <w:r>
        <w:rPr>
          <w:rFonts w:ascii="Trebuchet MS" w:hAnsi="Trebuchet MS"/>
          <w:sz w:val="22"/>
          <w:szCs w:val="22"/>
          <w:lang w:val="es-CR"/>
        </w:rPr>
        <w:t>.</w:t>
      </w:r>
      <w:r/>
    </w:p>
    <w:p>
      <w:pPr>
        <w:pStyle w:val="Normal"/>
        <w:ind w:left="567" w:hanging="567"/>
        <w:jc w:val="both"/>
        <w:rPr>
          <w:sz w:val="22"/>
          <w:sz w:val="22"/>
          <w:szCs w:val="22"/>
          <w:rFonts w:ascii="Trebuchet MS" w:hAnsi="Trebuchet MS"/>
          <w:lang w:val="en-US"/>
        </w:rPr>
      </w:pPr>
      <w:r>
        <w:rPr>
          <w:rFonts w:ascii="Trebuchet MS" w:hAnsi="Trebuchet MS"/>
          <w:sz w:val="22"/>
          <w:szCs w:val="22"/>
          <w:lang w:val="es-CR"/>
        </w:rPr>
        <w:t xml:space="preserve">Psiconet.  Temas de Psicogerontología II (1998).  Programa de Seminarios por Internet.    </w:t>
      </w:r>
      <w:hyperlink r:id="rId6">
        <w:r>
          <w:rPr>
            <w:rStyle w:val="EnlacedeInternet"/>
            <w:rFonts w:ascii="Trebuchet MS" w:hAnsi="Trebuchet MS"/>
            <w:color w:val="00000A"/>
            <w:sz w:val="22"/>
            <w:szCs w:val="22"/>
            <w:lang w:val="en-US"/>
          </w:rPr>
          <w:t>http://psiconet.com/seminarios</w:t>
        </w:r>
      </w:hyperlink>
      <w:r>
        <w:rPr>
          <w:rFonts w:ascii="Trebuchet MS" w:hAnsi="Trebuchet MS"/>
          <w:sz w:val="22"/>
          <w:szCs w:val="22"/>
          <w:lang w:val="en-US"/>
        </w:rPr>
        <w:t>.</w:t>
      </w:r>
      <w:r/>
    </w:p>
    <w:p>
      <w:pPr>
        <w:pStyle w:val="Normal"/>
        <w:ind w:left="567" w:hanging="567"/>
        <w:jc w:val="both"/>
        <w:rPr>
          <w:sz w:val="22"/>
          <w:sz w:val="22"/>
          <w:szCs w:val="22"/>
          <w:rFonts w:ascii="Trebuchet MS" w:hAnsi="Trebuchet MS"/>
          <w:lang w:val="es-CR"/>
        </w:rPr>
      </w:pPr>
      <w:r>
        <w:rPr>
          <w:rFonts w:ascii="Trebuchet MS" w:hAnsi="Trebuchet MS"/>
          <w:sz w:val="22"/>
          <w:szCs w:val="22"/>
          <w:lang w:val="en-US"/>
        </w:rPr>
        <w:t xml:space="preserve">Pushkar, D.; Basevitz, P.; Conway, M.: Mason, S.; Chaikelson, J. (2003). Emergent values and the experience of aging. </w:t>
      </w:r>
      <w:r>
        <w:rPr>
          <w:rFonts w:ascii="Trebuchet MS" w:hAnsi="Trebuchet MS"/>
          <w:i/>
          <w:sz w:val="22"/>
          <w:szCs w:val="22"/>
          <w:lang w:val="en-US"/>
        </w:rPr>
        <w:t>Journal of Adult Development</w:t>
      </w:r>
      <w:r>
        <w:rPr>
          <w:rFonts w:ascii="Trebuchet MS" w:hAnsi="Trebuchet MS"/>
          <w:sz w:val="22"/>
          <w:szCs w:val="22"/>
          <w:lang w:val="en-US"/>
        </w:rPr>
        <w:t xml:space="preserve">, 10. </w:t>
      </w:r>
      <w:r>
        <w:rPr>
          <w:rFonts w:ascii="Trebuchet MS" w:hAnsi="Trebuchet MS"/>
          <w:sz w:val="22"/>
          <w:szCs w:val="22"/>
          <w:lang w:val="es-CR"/>
        </w:rPr>
        <w:t>4, 249-259.</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Anales en Gerontología (1999).  Maestría Interdisciplinaria en Gerontología.  Universidad de Costa Rica.  Volumen 1, N° 1.</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Anales en Gerontología (2000).  Maestría Interdisciplinaria en Gerontología.  Universidad de Costa Rica.  Volumen 1, N° 2.</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Anales en Gerontología (2001).  Maestría Interdisciplinaria en Gerontología.  Universidad de Costa Rica.  Volumen 1, N° 3.</w:t>
      </w:r>
      <w:r/>
    </w:p>
    <w:p>
      <w:pPr>
        <w:pStyle w:val="Normal"/>
        <w:ind w:left="567" w:right="51" w:hanging="567"/>
        <w:jc w:val="both"/>
        <w:rPr>
          <w:sz w:val="22"/>
          <w:sz w:val="22"/>
          <w:szCs w:val="22"/>
          <w:rFonts w:ascii="Trebuchet MS" w:hAnsi="Trebuchet MS"/>
          <w:lang w:val="es-CR"/>
        </w:rPr>
      </w:pPr>
      <w:r>
        <w:rPr>
          <w:rFonts w:ascii="Trebuchet MS" w:hAnsi="Trebuchet MS"/>
          <w:sz w:val="22"/>
          <w:szCs w:val="22"/>
          <w:lang w:val="es-CR"/>
        </w:rPr>
        <w:t>Revista Costarricense de Psicología (1991).  Año 9, Numero 19.  Julio-diciembre.  Colegio Profesional de Psicólogos de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Giros de Aspas 4 (1998): Enfoque Etnopsicoanalítico.  Asociación de Psicoanálisis y Psicología Social.  Diciembre.  San José,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Giros de Aspas 5 (2000): Perspectivas del Psicoanálisis crítico hacia el siglo XXI.  Asociación de Psicoanálisis y Psicología Social.  Noviembre.  San José,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Giros de Aspas 6 (2002).  Asociación de Psicoanálisis Crítico Social (ASPAS).  Diciembre.  San José,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Revista Giros de Aspas 7 (2004).  Asociación de Psicoanálisis Crítico Social (ASPAS).  Noviembre.  San José, Costa Rica.</w:t>
      </w:r>
      <w:r/>
    </w:p>
    <w:p>
      <w:pPr>
        <w:pStyle w:val="Cuerpodetexto"/>
        <w:ind w:left="567" w:hanging="567"/>
        <w:rPr>
          <w:szCs w:val="22"/>
          <w:rFonts w:ascii="Trebuchet MS" w:hAnsi="Trebuchet MS"/>
        </w:rPr>
      </w:pPr>
      <w:r>
        <w:rPr>
          <w:rFonts w:ascii="Trebuchet MS" w:hAnsi="Trebuchet MS"/>
          <w:szCs w:val="22"/>
        </w:rPr>
        <w:t>Revista Giros de Aspas 8 (2006-08).  Asociación de Psicoanálisis Crítico Social (ASPAS).  San José, Costa Rica: Corporación Gráfica Tormo, S.A.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Revistas Giros de Aspas 2 (1992).  Asociación de Psicoanálisis y Psicología Social.  Junio.  San José, Costa Rica.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Rodríguez-Arias, David. (2005). Una muerte razonable. Testamento vital y eutanasia. España: Editorial Descleè De Brouwer, S.A.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Salazar Villanea, M. (2003). Identidad personal y memoria en adultos mayores sin diagnóstico de demencia y con enfermedad de Alzheimer: características subjetivas, evolutivas y mnemónicas de su recuerdo autobiográfico. Tesis de licenciatura en psicología, Universidad de Costa Rica.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Salvarezza, Leopoldo (1988).  Psicogeriatría.  Teoría y clínica.  Buenos Aires, Argentina.  Paidós editorial.</w:t>
      </w:r>
      <w:r/>
    </w:p>
    <w:p>
      <w:pPr>
        <w:pStyle w:val="Normal"/>
        <w:widowControl w:val="false"/>
        <w:ind w:left="567" w:hanging="567"/>
        <w:jc w:val="both"/>
        <w:rPr>
          <w:sz w:val="22"/>
          <w:sz w:val="22"/>
          <w:szCs w:val="22"/>
          <w:rFonts w:ascii="Trebuchet MS" w:hAnsi="Trebuchet MS"/>
          <w:lang w:val="es-CR"/>
        </w:rPr>
      </w:pPr>
      <w:r>
        <w:rPr>
          <w:rFonts w:ascii="Trebuchet MS" w:hAnsi="Trebuchet MS"/>
          <w:sz w:val="22"/>
          <w:szCs w:val="22"/>
          <w:lang w:val="es-CR"/>
        </w:rPr>
        <w:t xml:space="preserve">Salvarezza, Leopoldo (1995) (compilador).  El fantasma de la vejez. Argentina: Tekné.  Colección Psicoanálisis y tercera edad. </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Salvarezza, Leopoldo (1998) (compilador).  La Vejez.  Una mirada gerontológico actual.  Buenos Aires, Argentina: Editorial Paidós.</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Salvarezza, Leopoldo (2001) (compilador).  El envejecimiento: Psiquis, Poder y Tiempo.  Buenos Aires, Argentina: Eudeba.</w:t>
      </w:r>
      <w:r/>
    </w:p>
    <w:p>
      <w:pPr>
        <w:pStyle w:val="Normal"/>
        <w:widowControl w:val="false"/>
        <w:tabs>
          <w:tab w:val="left" w:pos="0" w:leader="none"/>
          <w:tab w:val="left" w:pos="142" w:leader="none"/>
        </w:tabs>
        <w:ind w:left="567" w:hanging="567"/>
        <w:jc w:val="both"/>
        <w:rPr>
          <w:sz w:val="22"/>
          <w:sz w:val="22"/>
          <w:szCs w:val="22"/>
          <w:rFonts w:ascii="Trebuchet MS" w:hAnsi="Trebuchet MS"/>
          <w:lang w:val="es-CR"/>
        </w:rPr>
      </w:pPr>
      <w:r>
        <w:rPr>
          <w:rFonts w:ascii="Trebuchet MS" w:hAnsi="Trebuchet MS"/>
          <w:sz w:val="22"/>
          <w:szCs w:val="22"/>
          <w:lang w:val="es-CR"/>
        </w:rPr>
        <w:t>Sánchez S., Carmen Delia (2005). Programa de preparación para la jubilación. Conferencia presentada en el I Congreso Internacional de Gerontología, San José Costa Rica, 26 a 27 de octubre.</w:t>
      </w:r>
      <w:r/>
    </w:p>
    <w:p>
      <w:pPr>
        <w:pStyle w:val="Normal"/>
        <w:ind w:left="567" w:hanging="567"/>
        <w:jc w:val="both"/>
        <w:rPr>
          <w:sz w:val="22"/>
          <w:sz w:val="22"/>
          <w:szCs w:val="22"/>
          <w:rFonts w:ascii="Trebuchet MS" w:hAnsi="Trebuchet MS"/>
          <w:lang w:val="es-CR"/>
        </w:rPr>
      </w:pPr>
      <w:r>
        <w:rPr>
          <w:rFonts w:ascii="Trebuchet MS" w:hAnsi="Trebuchet MS"/>
          <w:sz w:val="22"/>
          <w:szCs w:val="22"/>
          <w:lang w:val="en-US"/>
        </w:rPr>
        <w:t xml:space="preserve">Schaie, KW &amp; Sherry L Willis. </w:t>
      </w:r>
      <w:r>
        <w:rPr>
          <w:rFonts w:ascii="Trebuchet MS" w:hAnsi="Trebuchet MS"/>
          <w:sz w:val="22"/>
          <w:szCs w:val="22"/>
          <w:lang w:val="es-CR"/>
        </w:rPr>
        <w:t>(2003). Psicología de la Edad Adulta y la Vejez. España: Pearson Educación, S.A.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Serra, E.; Abengozar, M.C.; Zácares, J.J. (1998). Desarrollo de las habilidades cognitivas en la edad adulta. En V. Bermejo (Ed.), </w:t>
      </w:r>
      <w:r>
        <w:rPr>
          <w:rFonts w:ascii="Trebuchet MS" w:hAnsi="Trebuchet MS"/>
          <w:i/>
          <w:sz w:val="22"/>
          <w:szCs w:val="22"/>
          <w:lang w:val="es-CR"/>
        </w:rPr>
        <w:t>Desarrollo cognitivo</w:t>
      </w:r>
      <w:r>
        <w:rPr>
          <w:rFonts w:ascii="Trebuchet MS" w:hAnsi="Trebuchet MS"/>
          <w:sz w:val="22"/>
          <w:szCs w:val="22"/>
          <w:lang w:val="es-CR"/>
        </w:rPr>
        <w:t xml:space="preserve"> (pp. 443-462). Madrid: Síntesis.</w:t>
      </w:r>
      <w:r/>
    </w:p>
    <w:p>
      <w:pPr>
        <w:pStyle w:val="Normal"/>
        <w:widowControl w:val="false"/>
        <w:tabs>
          <w:tab w:val="left" w:pos="0" w:leader="none"/>
          <w:tab w:val="left" w:pos="142"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774"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s>
        <w:suppressAutoHyphens w:val="true"/>
        <w:ind w:left="567" w:hanging="567"/>
        <w:jc w:val="both"/>
        <w:rPr>
          <w:sz w:val="22"/>
          <w:sz w:val="22"/>
          <w:szCs w:val="22"/>
          <w:rFonts w:ascii="Trebuchet MS" w:hAnsi="Trebuchet MS"/>
          <w:lang w:val="es-CR"/>
        </w:rPr>
      </w:pPr>
      <w:r>
        <w:rPr>
          <w:rFonts w:ascii="Trebuchet MS" w:hAnsi="Trebuchet MS"/>
          <w:sz w:val="22"/>
          <w:szCs w:val="22"/>
          <w:lang w:val="es-CR"/>
        </w:rPr>
        <w:t>UCR, CONAPAM (2008).  I Informe estado de situación de la persona adulta mayor en Costa Rica.  San José, Costa Rica.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Valverde, J.M. (2004). </w:t>
      </w:r>
      <w:r>
        <w:rPr>
          <w:rFonts w:ascii="Trebuchet MS" w:hAnsi="Trebuchet MS"/>
          <w:i/>
          <w:sz w:val="22"/>
          <w:szCs w:val="22"/>
          <w:lang w:val="es-CR"/>
        </w:rPr>
        <w:t>Contexto y perfil de las instituciones de bienestar social para la atención de las personas adultas mayores</w:t>
      </w:r>
      <w:r>
        <w:rPr>
          <w:rFonts w:ascii="Trebuchet MS" w:hAnsi="Trebuchet MS"/>
          <w:sz w:val="22"/>
          <w:szCs w:val="22"/>
          <w:lang w:val="es-CR"/>
        </w:rPr>
        <w:t>. Consejo Nacional de la Persona Adulta Mayor CONAPAM.</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Yanguas, Javier; Leturia, Javier; Leturia, Miguel y Uriarte, Alberto (1998).  Intervención Psicosocial en Gerontología: Manual Práctico.  España: Cáritas Española.</w:t>
      </w:r>
      <w:r/>
    </w:p>
    <w:p>
      <w:pPr>
        <w:pStyle w:val="Normal"/>
        <w:ind w:left="567" w:hanging="567"/>
        <w:jc w:val="both"/>
        <w:rPr>
          <w:sz w:val="22"/>
          <w:sz w:val="22"/>
          <w:szCs w:val="22"/>
          <w:rFonts w:ascii="Trebuchet MS" w:hAnsi="Trebuchet MS"/>
          <w:lang w:val="es-CR"/>
        </w:rPr>
      </w:pPr>
      <w:r>
        <w:rPr>
          <w:rFonts w:ascii="Trebuchet MS" w:hAnsi="Trebuchet MS"/>
          <w:sz w:val="22"/>
          <w:szCs w:val="22"/>
          <w:lang w:val="es-CR"/>
        </w:rPr>
        <w:t xml:space="preserve">Yuste Rossell, N.; Rubio Herrera, R.; Aleixandre Rico, M. (2004). </w:t>
      </w:r>
      <w:r>
        <w:rPr>
          <w:rFonts w:ascii="Trebuchet MS" w:hAnsi="Trebuchet MS"/>
          <w:i/>
          <w:sz w:val="22"/>
          <w:szCs w:val="22"/>
          <w:lang w:val="es-CR"/>
        </w:rPr>
        <w:t>Introducción a la psicogerontología</w:t>
      </w:r>
      <w:r>
        <w:rPr>
          <w:rFonts w:ascii="Trebuchet MS" w:hAnsi="Trebuchet MS"/>
          <w:sz w:val="22"/>
          <w:szCs w:val="22"/>
          <w:lang w:val="es-CR"/>
        </w:rPr>
        <w:t>. Madrid: Pirámide.</w:t>
      </w:r>
      <w:r/>
    </w:p>
    <w:p>
      <w:pPr>
        <w:pStyle w:val="Normal"/>
        <w:jc w:val="both"/>
        <w:rPr>
          <w:sz w:val="22"/>
          <w:sz w:val="22"/>
          <w:szCs w:val="22"/>
          <w:rFonts w:ascii="Trebuchet MS" w:hAnsi="Trebuchet MS" w:eastAsia="Times New Roman"/>
          <w:lang w:val="es-ES" w:eastAsia="es-ES"/>
        </w:rPr>
      </w:pPr>
      <w:r>
        <w:rPr>
          <w:rFonts w:ascii="Trebuchet MS" w:hAnsi="Trebuchet MS"/>
          <w:sz w:val="22"/>
          <w:szCs w:val="22"/>
        </w:rPr>
      </w:r>
      <w:r/>
    </w:p>
    <w:p>
      <w:pPr>
        <w:pStyle w:val="Normal"/>
        <w:jc w:val="both"/>
        <w:rPr>
          <w:sz w:val="22"/>
          <w:sz w:val="22"/>
          <w:szCs w:val="22"/>
          <w:rFonts w:ascii="Trebuchet MS" w:hAnsi="Trebuchet MS" w:eastAsia="Times New Roman"/>
          <w:lang w:val="es-ES" w:eastAsia="es-ES"/>
        </w:rPr>
      </w:pPr>
      <w:r>
        <w:rPr>
          <w:rFonts w:ascii="Trebuchet MS" w:hAnsi="Trebuchet MS"/>
          <w:sz w:val="22"/>
          <w:szCs w:val="22"/>
        </w:rPr>
      </w:r>
      <w:r/>
    </w:p>
    <w:p>
      <w:pPr>
        <w:pStyle w:val="Normal"/>
        <w:ind w:left="540" w:hanging="540"/>
        <w:jc w:val="both"/>
        <w:rPr>
          <w:smallCaps/>
          <w:sz w:val="22"/>
          <w:b/>
          <w:sz w:val="22"/>
          <w:b/>
          <w:szCs w:val="22"/>
          <w:rFonts w:ascii="Trebuchet MS" w:hAnsi="Trebuchet MS"/>
          <w:lang w:val="es-CR"/>
        </w:rPr>
      </w:pPr>
      <w:r>
        <w:rPr>
          <w:rFonts w:ascii="Trebuchet MS" w:hAnsi="Trebuchet MS"/>
          <w:b/>
          <w:smallCaps/>
          <w:sz w:val="22"/>
          <w:szCs w:val="22"/>
          <w:lang w:val="es-CR"/>
        </w:rPr>
        <w:t>Fuentes electrónicas</w:t>
      </w:r>
      <w:r/>
    </w:p>
    <w:p>
      <w:pPr>
        <w:pStyle w:val="Normal"/>
        <w:ind w:left="540" w:hanging="540"/>
        <w:jc w:val="both"/>
        <w:rPr>
          <w:sz w:val="22"/>
          <w:i/>
          <w:sz w:val="22"/>
          <w:i/>
          <w:szCs w:val="22"/>
          <w:rFonts w:ascii="Trebuchet MS" w:hAnsi="Trebuchet MS" w:eastAsia="Times New Roman"/>
          <w:color w:val="0000FF"/>
          <w:lang w:val="es-CR" w:eastAsia="es-ES"/>
        </w:rPr>
      </w:pPr>
      <w:r>
        <w:rPr>
          <w:rFonts w:ascii="Trebuchet MS" w:hAnsi="Trebuchet MS"/>
          <w:i/>
          <w:color w:val="0000FF"/>
          <w:sz w:val="22"/>
          <w:szCs w:val="22"/>
          <w:lang w:val="es-CR"/>
        </w:rPr>
      </w:r>
      <w:r/>
    </w:p>
    <w:p>
      <w:pPr>
        <w:pStyle w:val="Normal"/>
        <w:ind w:left="540" w:hanging="540"/>
        <w:jc w:val="both"/>
        <w:rPr>
          <w:sz w:val="22"/>
          <w:sz w:val="22"/>
          <w:szCs w:val="22"/>
          <w:rFonts w:ascii="Trebuchet MS" w:hAnsi="Trebuchet MS"/>
          <w:lang w:val="es-CR"/>
        </w:rPr>
      </w:pPr>
      <w:r>
        <w:rPr>
          <w:rFonts w:ascii="Trebuchet MS" w:hAnsi="Trebuchet MS"/>
          <w:sz w:val="22"/>
          <w:szCs w:val="22"/>
          <w:lang w:val="es-CR"/>
        </w:rPr>
        <w:t>http://www.iip.ucr.ac.cr</w:t>
      </w:r>
      <w:r/>
    </w:p>
    <w:p>
      <w:pPr>
        <w:pStyle w:val="Normal"/>
        <w:ind w:left="540" w:hanging="540"/>
        <w:jc w:val="both"/>
        <w:rPr>
          <w:sz w:val="22"/>
          <w:sz w:val="22"/>
          <w:szCs w:val="22"/>
          <w:rFonts w:ascii="Trebuchet MS" w:hAnsi="Trebuchet MS"/>
          <w:lang w:val="es-CR"/>
        </w:rPr>
      </w:pPr>
      <w:hyperlink r:id="rId7">
        <w:r>
          <w:rPr>
            <w:rStyle w:val="EnlacedeInternet"/>
            <w:rFonts w:ascii="Trebuchet MS" w:hAnsi="Trebuchet MS"/>
            <w:color w:val="00000A"/>
            <w:sz w:val="22"/>
            <w:szCs w:val="22"/>
            <w:lang w:val="es-CR"/>
          </w:rPr>
          <w:t>http://www.conapam.go.cr</w:t>
        </w:r>
      </w:hyperlink>
      <w:r/>
    </w:p>
    <w:p>
      <w:pPr>
        <w:pStyle w:val="Normal"/>
        <w:ind w:left="540" w:hanging="540"/>
        <w:jc w:val="both"/>
        <w:rPr>
          <w:sz w:val="22"/>
          <w:sz w:val="22"/>
          <w:szCs w:val="22"/>
          <w:rFonts w:ascii="Trebuchet MS" w:hAnsi="Trebuchet MS"/>
        </w:rPr>
      </w:pPr>
      <w:hyperlink r:id="rId8">
        <w:r>
          <w:rPr>
            <w:rStyle w:val="EnlacedeInternet"/>
            <w:rFonts w:ascii="Trebuchet MS" w:hAnsi="Trebuchet MS"/>
            <w:color w:val="00000A"/>
            <w:sz w:val="22"/>
            <w:szCs w:val="22"/>
            <w:lang w:val="es-CR"/>
          </w:rPr>
          <w:t>http://ccp.ucr.ac.cr/</w:t>
        </w:r>
      </w:hyperlink>
      <w:r/>
    </w:p>
    <w:p>
      <w:pPr>
        <w:pStyle w:val="Normal"/>
        <w:ind w:left="540" w:hanging="540"/>
        <w:jc w:val="both"/>
        <w:rPr>
          <w:sz w:val="22"/>
          <w:sz w:val="22"/>
          <w:szCs w:val="22"/>
          <w:rFonts w:ascii="Trebuchet MS" w:hAnsi="Trebuchet MS"/>
          <w:lang w:val="es-CR"/>
        </w:rPr>
      </w:pPr>
      <w:hyperlink r:id="rId9">
        <w:r>
          <w:rPr>
            <w:rStyle w:val="EnlacedeInternet"/>
            <w:rFonts w:ascii="Trebuchet MS" w:hAnsi="Trebuchet MS"/>
            <w:color w:val="00000A"/>
            <w:sz w:val="22"/>
            <w:szCs w:val="22"/>
          </w:rPr>
          <w:t>http://www.gerontologia.org/portal/index.php</w:t>
        </w:r>
      </w:hyperlink>
      <w:r/>
    </w:p>
    <w:p>
      <w:pPr>
        <w:pStyle w:val="Normal"/>
        <w:ind w:left="540" w:hanging="540"/>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
        <w:ind w:left="540" w:hanging="540"/>
        <w:jc w:val="both"/>
        <w:rPr>
          <w:smallCaps/>
          <w:sz w:val="22"/>
          <w:b/>
          <w:sz w:val="22"/>
          <w:b/>
          <w:szCs w:val="22"/>
          <w:rFonts w:ascii="Trebuchet MS" w:hAnsi="Trebuchet MS"/>
          <w:lang w:val="es-CR"/>
        </w:rPr>
      </w:pPr>
      <w:r>
        <w:rPr>
          <w:rFonts w:ascii="Trebuchet MS" w:hAnsi="Trebuchet MS"/>
          <w:b/>
          <w:smallCaps/>
          <w:sz w:val="22"/>
          <w:szCs w:val="22"/>
          <w:lang w:val="es-CR"/>
        </w:rPr>
        <w:t>Lista de revistas de consulta</w:t>
      </w:r>
      <w:r/>
    </w:p>
    <w:p>
      <w:pPr>
        <w:pStyle w:val="Normal"/>
        <w:ind w:left="540" w:hanging="540"/>
        <w:jc w:val="both"/>
        <w:rPr>
          <w:sz w:val="22"/>
          <w:sz w:val="22"/>
          <w:szCs w:val="22"/>
          <w:rFonts w:ascii="Trebuchet MS" w:hAnsi="Trebuchet MS" w:eastAsia="Times New Roman"/>
          <w:lang w:val="es-CR" w:eastAsia="es-ES"/>
        </w:rPr>
      </w:pPr>
      <w:r>
        <w:rPr>
          <w:rFonts w:ascii="Trebuchet MS" w:hAnsi="Trebuchet MS"/>
          <w:sz w:val="22"/>
          <w:szCs w:val="22"/>
          <w:lang w:val="es-CR"/>
        </w:rPr>
      </w:r>
      <w:r/>
    </w:p>
    <w:p>
      <w:pPr>
        <w:pStyle w:val="NormalWeb"/>
        <w:spacing w:beforeAutospacing="0" w:before="0" w:afterAutospacing="0" w:after="0"/>
        <w:rPr>
          <w:sz w:val="22"/>
          <w:sz w:val="22"/>
          <w:szCs w:val="22"/>
          <w:rFonts w:ascii="Trebuchet MS" w:hAnsi="Trebuchet MS" w:cs="Arial"/>
        </w:rPr>
      </w:pPr>
      <w:r>
        <w:rPr>
          <w:rFonts w:ascii="Trebuchet MS" w:hAnsi="Trebuchet MS"/>
          <w:sz w:val="22"/>
          <w:szCs w:val="22"/>
          <w:lang w:val="es-CR"/>
        </w:rPr>
        <w:t>Actualidades en Psicología</w:t>
      </w:r>
      <w:r/>
    </w:p>
    <w:p>
      <w:pPr>
        <w:pStyle w:val="NormalWeb"/>
        <w:spacing w:beforeAutospacing="0" w:before="0" w:afterAutospacing="0" w:after="0"/>
        <w:rPr>
          <w:sz w:val="22"/>
          <w:sz w:val="22"/>
          <w:szCs w:val="22"/>
          <w:rFonts w:ascii="Trebuchet MS" w:hAnsi="Trebuchet MS" w:cs="Arial"/>
        </w:rPr>
      </w:pPr>
      <w:r>
        <w:rPr>
          <w:rFonts w:ascii="Trebuchet MS" w:hAnsi="Trebuchet MS"/>
          <w:sz w:val="22"/>
          <w:szCs w:val="22"/>
          <w:lang w:val="es-CR"/>
        </w:rPr>
        <w:t>Acta Colombiana de Psicología</w:t>
      </w:r>
      <w:r/>
    </w:p>
    <w:p>
      <w:pPr>
        <w:pStyle w:val="NormalWeb"/>
        <w:spacing w:beforeAutospacing="0" w:before="0" w:afterAutospacing="0" w:after="0"/>
        <w:rPr>
          <w:sz w:val="22"/>
          <w:sz w:val="22"/>
          <w:szCs w:val="22"/>
          <w:rFonts w:ascii="Trebuchet MS" w:hAnsi="Trebuchet MS" w:cs="Arial"/>
          <w:lang w:val="es-CR"/>
        </w:rPr>
      </w:pPr>
      <w:r>
        <w:rPr>
          <w:rFonts w:ascii="Trebuchet MS" w:hAnsi="Trebuchet MS"/>
          <w:sz w:val="22"/>
          <w:szCs w:val="22"/>
          <w:lang w:val="es-CR"/>
        </w:rPr>
        <w:t>Aging, Neuropsychology and Cognition</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Applied Neuropsychology</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Archives of Gerontology and Geriatrics</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Educational Gerontology</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Experimental Aging Research</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International Journal of Aging and Human Development</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International Journal of Behavioral Development</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Journal of Adult Development</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Journal of Aging and Identity</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Journal of Gerontology</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Journal of the American Geriatric Society</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Journal of Women and Aging</w:t>
      </w:r>
      <w:r/>
    </w:p>
    <w:p>
      <w:pPr>
        <w:pStyle w:val="NormalWeb"/>
        <w:spacing w:beforeAutospacing="0" w:before="0" w:afterAutospacing="0" w:after="0"/>
        <w:rPr>
          <w:sz w:val="22"/>
          <w:sz w:val="22"/>
          <w:szCs w:val="22"/>
          <w:rFonts w:ascii="Trebuchet MS" w:hAnsi="Trebuchet MS" w:cs="Arial"/>
          <w:lang w:val="en-US"/>
        </w:rPr>
      </w:pPr>
      <w:r>
        <w:rPr>
          <w:rFonts w:ascii="Trebuchet MS" w:hAnsi="Trebuchet MS"/>
          <w:sz w:val="22"/>
          <w:szCs w:val="22"/>
          <w:lang w:val="en-US"/>
        </w:rPr>
        <w:t>Memory and Cognition</w:t>
      </w:r>
      <w:r/>
    </w:p>
    <w:p>
      <w:pPr>
        <w:pStyle w:val="NormalWeb"/>
        <w:spacing w:beforeAutospacing="0" w:before="0" w:afterAutospacing="0" w:after="0"/>
        <w:rPr>
          <w:sz w:val="22"/>
          <w:sz w:val="22"/>
          <w:szCs w:val="22"/>
          <w:rFonts w:ascii="Trebuchet MS" w:hAnsi="Trebuchet MS" w:cs="Arial"/>
        </w:rPr>
      </w:pPr>
      <w:r>
        <w:rPr>
          <w:rFonts w:ascii="Trebuchet MS" w:hAnsi="Trebuchet MS"/>
          <w:sz w:val="22"/>
          <w:szCs w:val="22"/>
        </w:rPr>
        <w:t>Psychology and Aging</w:t>
      </w:r>
      <w:r/>
    </w:p>
    <w:p>
      <w:pPr>
        <w:pStyle w:val="NormalWeb"/>
        <w:spacing w:beforeAutospacing="0" w:before="0" w:afterAutospacing="0" w:after="0"/>
        <w:rPr>
          <w:sz w:val="22"/>
          <w:sz w:val="22"/>
          <w:szCs w:val="22"/>
          <w:rFonts w:ascii="Trebuchet MS" w:hAnsi="Trebuchet MS" w:cs="Arial"/>
        </w:rPr>
      </w:pPr>
      <w:r>
        <w:rPr>
          <w:rFonts w:ascii="Trebuchet MS" w:hAnsi="Trebuchet MS"/>
          <w:sz w:val="22"/>
          <w:szCs w:val="22"/>
        </w:rPr>
        <w:t>Revista Interamericana de Psicología</w:t>
      </w:r>
      <w:r/>
    </w:p>
    <w:p>
      <w:pPr>
        <w:pStyle w:val="NormalWeb"/>
        <w:spacing w:beforeAutospacing="0" w:before="0" w:afterAutospacing="0" w:after="0"/>
        <w:rPr>
          <w:sz w:val="22"/>
          <w:sz w:val="22"/>
          <w:szCs w:val="22"/>
          <w:rFonts w:ascii="Trebuchet MS" w:hAnsi="Trebuchet MS" w:cs="Arial"/>
        </w:rPr>
      </w:pPr>
      <w:r>
        <w:rPr>
          <w:rFonts w:ascii="Trebuchet MS" w:hAnsi="Trebuchet MS"/>
          <w:sz w:val="22"/>
          <w:szCs w:val="22"/>
        </w:rPr>
        <w:t>The Journals of Gerontology</w:t>
      </w:r>
      <w:r/>
    </w:p>
    <w:p>
      <w:pPr>
        <w:pStyle w:val="Normal"/>
        <w:jc w:val="both"/>
        <w:rPr>
          <w:sz w:val="22"/>
          <w:sz w:val="22"/>
          <w:szCs w:val="22"/>
          <w:rFonts w:ascii="Trebuchet MS" w:hAnsi="Trebuchet MS" w:eastAsia="Times New Roman"/>
          <w:lang w:val="es-ES" w:eastAsia="es-ES"/>
        </w:rPr>
      </w:pPr>
      <w:r>
        <w:rPr>
          <w:rFonts w:ascii="Trebuchet MS" w:hAnsi="Trebuchet MS"/>
          <w:sz w:val="22"/>
          <w:szCs w:val="22"/>
        </w:rPr>
      </w:r>
      <w:r/>
    </w:p>
    <w:p>
      <w:pPr>
        <w:pStyle w:val="Piedepgina"/>
        <w:pBdr/>
      </w:pPr>
      <w:r>
        <w:rPr/>
      </w:r>
      <w:r/>
    </w:p>
    <w:sectPr>
      <w:headerReference w:type="default" r:id="rId10"/>
      <w:footerReference w:type="default" r:id="rId11"/>
      <w:type w:val="nextPage"/>
      <w:pgSz w:w="12240" w:h="15840"/>
      <w:pgMar w:left="1080" w:right="1080" w:header="709" w:top="1440" w:footer="709"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Lucida Handwriting">
    <w:charset w:val="00"/>
    <w:family w:val="roman"/>
    <w:pitch w:val="variable"/>
  </w:font>
  <w:font w:name="Trebuchet MS">
    <w:charset w:val="00"/>
    <w:family w:val="roman"/>
    <w:pitch w:val="variable"/>
  </w:font>
  <w:font w:name="Goudy Old Styl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rPr>
        <w:sz w:val="16"/>
        <w:sz w:val="16"/>
        <w:szCs w:val="16"/>
        <w:rFonts w:ascii="Goudy Old Style" w:hAnsi="Goudy Old Style" w:eastAsia="Times New Roman"/>
        <w:lang w:val="es-ES" w:eastAsia="es-ES"/>
      </w:rPr>
    </w:pPr>
    <w:r>
      <w:rPr>
        <w:rFonts w:ascii="Goudy Old Style" w:hAnsi="Goudy Old Style"/>
        <w:sz w:val="16"/>
        <w:szCs w:val="16"/>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152" w:type="dxa"/>
      <w:tblBorders>
        <w:right w:val="single" w:sz="6" w:space="0" w:color="000001"/>
        <w:insideV w:val="single" w:sz="6" w:space="0" w:color="000001"/>
      </w:tblBorders>
      <w:tblCellMar>
        <w:top w:w="0" w:type="dxa"/>
        <w:left w:w="108" w:type="dxa"/>
        <w:bottom w:w="0" w:type="dxa"/>
        <w:right w:w="108" w:type="dxa"/>
      </w:tblCellMar>
    </w:tblPr>
    <w:tblGrid>
      <w:gridCol w:w="8951"/>
      <w:gridCol w:w="1128"/>
    </w:tblGrid>
    <w:tr>
      <w:trPr/>
      <w:tc>
        <w:tcPr>
          <w:tcW w:w="8951" w:type="dxa"/>
          <w:tcBorders>
            <w:right w:val="single" w:sz="6" w:space="0" w:color="000001"/>
            <w:insideV w:val="single" w:sz="6" w:space="0" w:color="000001"/>
          </w:tcBorders>
          <w:shd w:fill="auto" w:val="clear"/>
        </w:tcPr>
        <w:p>
          <w:pPr>
            <w:pStyle w:val="Encabezamiento"/>
            <w:jc w:val="right"/>
            <w:rPr>
              <w:sz w:val="20"/>
              <w:sz w:val="20"/>
              <w:szCs w:val="20"/>
              <w:rFonts w:ascii="Trebuchet MS" w:hAnsi="Trebuchet MS"/>
            </w:rPr>
          </w:pPr>
          <w:sdt>
            <w:sdtPr>
              <w:text/>
              <w:dataBinding w:storeItemID="{6668398D-A668-4E3E-A5EB-62B293D839F1}" w:xpath="/ns0:Properties[1]/ns0:Company[1]" w:prefixMappings="xmlns:ns0='http://schemas.openxmlformats.org/officeDocument/2006/extended-properties'"/>
            </w:sdtPr>
            <w:sdtContent>
              <w:r>
                <w:rPr>
                  <w:rFonts w:ascii="Trebuchet MS" w:hAnsi="Trebuchet MS"/>
                  <w:sz w:val="20"/>
                  <w:szCs w:val="20"/>
                  <w:lang w:val="es-CR"/>
                </w:rPr>
                <w:t>PD 3 – I-2014</w:t>
              </w:r>
            </w:sdtContent>
          </w:sdt>
          <w:r/>
        </w:p>
        <w:p>
          <w:pPr>
            <w:pStyle w:val="Encabezamiento"/>
            <w:jc w:val="right"/>
            <w:rPr>
              <w:sz w:val="20"/>
              <w:b/>
              <w:sz w:val="20"/>
              <w:b/>
              <w:szCs w:val="20"/>
              <w:bCs/>
              <w:rFonts w:ascii="Trebuchet MS" w:hAnsi="Trebuchet MS" w:eastAsia="Times New Roman"/>
              <w:lang w:val="es-ES" w:eastAsia="es-ES"/>
            </w:rPr>
          </w:pPr>
          <w:r>
            <w:rPr>
              <w:rFonts w:ascii="Trebuchet MS" w:hAnsi="Trebuchet MS"/>
              <w:b/>
              <w:bCs/>
              <w:sz w:val="20"/>
              <w:szCs w:val="20"/>
            </w:rPr>
          </w:r>
          <w:r/>
        </w:p>
      </w:tc>
      <w:tc>
        <w:tcPr>
          <w:tcW w:w="1128" w:type="dxa"/>
          <w:tcBorders>
            <w:left w:val="single" w:sz="6" w:space="0" w:color="000001"/>
          </w:tcBorders>
          <w:shd w:fill="auto" w:val="clear"/>
          <w:tcMar>
            <w:left w:w="100" w:type="dxa"/>
          </w:tcMar>
        </w:tcPr>
        <w:p>
          <w:pPr>
            <w:pStyle w:val="Encabezamiento"/>
            <w:rPr>
              <w:sz w:val="20"/>
              <w:b/>
              <w:sz w:val="20"/>
              <w:b/>
              <w:szCs w:val="20"/>
              <w:bCs/>
              <w:rFonts w:ascii="Trebuchet MS" w:hAnsi="Trebuchet MS"/>
            </w:rPr>
          </w:pPr>
          <w:r>
            <w:rPr/>
            <w:fldChar w:fldCharType="begin"/>
          </w:r>
          <w:r>
            <w:instrText> PAGE </w:instrText>
          </w:r>
          <w:r>
            <w:fldChar w:fldCharType="separate"/>
          </w:r>
          <w:r>
            <w:t>7</w:t>
          </w:r>
          <w:r>
            <w:fldChar w:fldCharType="end"/>
          </w:r>
          <w:r/>
        </w:p>
      </w:tc>
    </w:tr>
  </w:tbl>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2.%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3.%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4.%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es-CR" w:eastAsia="es-CR"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uiPriority="0" w:name="page number"/>
    <w:lsdException w:qFormat="1" w:semiHidden="0" w:unhideWhenUsed="0" w:uiPriority="10" w:name="Title"/>
    <w:lsdException w:uiPriority="1" w:name="Default Paragraph Font"/>
    <w:lsdException w:uiPriority="0" w:name="Body Text"/>
    <w:lsdException w:qFormat="1" w:semiHidden="0" w:unhideWhenUsed="0" w:uiPriority="11" w:name="Subtitle"/>
    <w:lsdException w:uiPriority="0" w:name="Hyperlink"/>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2631ae"/>
    <w:pPr>
      <w:widowControl/>
      <w:suppressAutoHyphens w:val="true"/>
      <w:bidi w:val="0"/>
      <w:jc w:val="left"/>
    </w:pPr>
    <w:rPr>
      <w:rFonts w:eastAsia="Times New Roman" w:ascii="Times New Roman" w:hAnsi="Times New Roman" w:cs="Times New Roman"/>
      <w:color w:val="auto"/>
      <w:sz w:val="24"/>
      <w:szCs w:val="24"/>
      <w:lang w:val="es-ES" w:eastAsia="es-ES" w:bidi="ar-SA"/>
    </w:rPr>
  </w:style>
  <w:style w:type="paragraph" w:styleId="Encabezado2">
    <w:name w:val="Encabezado 2"/>
    <w:basedOn w:val="Normal"/>
    <w:next w:val="Normal"/>
    <w:link w:val="Ttulo2Car"/>
    <w:qFormat/>
    <w:rsid w:val="002631ae"/>
    <w:pPr>
      <w:keepNext/>
      <w:outlineLvl w:val="1"/>
    </w:pPr>
    <w:rPr>
      <w:rFonts w:ascii="Garamond" w:hAnsi="Garamond"/>
      <w:b/>
      <w:bCs/>
      <w:sz w:val="22"/>
      <w:szCs w:val="20"/>
      <w:lang w:val="es-CR"/>
    </w:rPr>
  </w:style>
  <w:style w:type="paragraph" w:styleId="Encabezado4">
    <w:name w:val="Encabezado 4"/>
    <w:basedOn w:val="Normal"/>
    <w:next w:val="Normal"/>
    <w:link w:val="Ttulo4Car"/>
    <w:qFormat/>
    <w:rsid w:val="002631ae"/>
    <w:pPr>
      <w:keepNext/>
      <w:jc w:val="center"/>
      <w:outlineLvl w:val="3"/>
    </w:pPr>
    <w:rPr>
      <w:rFonts w:ascii="Garamond" w:hAnsi="Garamond"/>
      <w:szCs w:val="20"/>
      <w:lang w:val="es-CR"/>
    </w:rPr>
  </w:style>
  <w:style w:type="character" w:styleId="DefaultParagraphFont" w:default="1">
    <w:name w:val="Default Paragraph Font"/>
    <w:uiPriority w:val="1"/>
    <w:semiHidden/>
    <w:unhideWhenUsed/>
    <w:rPr/>
  </w:style>
  <w:style w:type="character" w:styleId="Ttulo2Car" w:customStyle="1">
    <w:name w:val="Título 2 Car"/>
    <w:basedOn w:val="DefaultParagraphFont"/>
    <w:link w:val="Ttulo2"/>
    <w:rsid w:val="002631ae"/>
    <w:rPr>
      <w:rFonts w:ascii="Garamond" w:hAnsi="Garamond" w:eastAsia="Times New Roman"/>
      <w:b/>
      <w:bCs/>
      <w:sz w:val="22"/>
      <w:szCs w:val="20"/>
      <w:lang w:val="es-CR" w:eastAsia="es-ES"/>
    </w:rPr>
  </w:style>
  <w:style w:type="character" w:styleId="Ttulo4Car" w:customStyle="1">
    <w:name w:val="Título 4 Car"/>
    <w:basedOn w:val="DefaultParagraphFont"/>
    <w:link w:val="Ttulo4"/>
    <w:rsid w:val="002631ae"/>
    <w:rPr>
      <w:rFonts w:ascii="Garamond" w:hAnsi="Garamond" w:eastAsia="Times New Roman"/>
      <w:szCs w:val="20"/>
      <w:lang w:val="es-CR" w:eastAsia="es-ES"/>
    </w:rPr>
  </w:style>
  <w:style w:type="character" w:styleId="TextoindependienteCar" w:customStyle="1">
    <w:name w:val="Texto independiente Car"/>
    <w:basedOn w:val="DefaultParagraphFont"/>
    <w:link w:val="Textoindependiente"/>
    <w:rsid w:val="002631ae"/>
    <w:rPr>
      <w:rFonts w:ascii="Garamond" w:hAnsi="Garamond" w:eastAsia="Times New Roman"/>
      <w:sz w:val="22"/>
      <w:szCs w:val="20"/>
      <w:lang w:val="es-CR" w:eastAsia="es-ES"/>
    </w:rPr>
  </w:style>
  <w:style w:type="character" w:styleId="PiedepginaCar" w:customStyle="1">
    <w:name w:val="Pie de página Car"/>
    <w:basedOn w:val="DefaultParagraphFont"/>
    <w:link w:val="Piedepgina"/>
    <w:rsid w:val="002631ae"/>
    <w:rPr>
      <w:rFonts w:eastAsia="Times New Roman"/>
      <w:lang w:val="es-ES" w:eastAsia="es-ES"/>
    </w:rPr>
  </w:style>
  <w:style w:type="character" w:styleId="Pagenumber">
    <w:name w:val="page number"/>
    <w:basedOn w:val="DefaultParagraphFont"/>
    <w:rsid w:val="002631ae"/>
    <w:rPr/>
  </w:style>
  <w:style w:type="character" w:styleId="EncabezadoCar" w:customStyle="1">
    <w:name w:val="Encabezado Car"/>
    <w:basedOn w:val="DefaultParagraphFont"/>
    <w:link w:val="Encabezado"/>
    <w:uiPriority w:val="99"/>
    <w:rsid w:val="002631ae"/>
    <w:rPr>
      <w:rFonts w:eastAsia="Times New Roman"/>
      <w:lang w:val="es-ES" w:eastAsia="es-ES"/>
    </w:rPr>
  </w:style>
  <w:style w:type="character" w:styleId="EnlacedeInternet">
    <w:name w:val="Enlace de Internet"/>
    <w:basedOn w:val="DefaultParagraphFont"/>
    <w:rsid w:val="002631ae"/>
    <w:rPr>
      <w:color w:val="0000FF"/>
      <w:u w:val="single"/>
      <w:lang w:val="zxx" w:eastAsia="zxx" w:bidi="zxx"/>
    </w:rPr>
  </w:style>
  <w:style w:type="character" w:styleId="TextodegloboCar" w:customStyle="1">
    <w:name w:val="Texto de globo Car"/>
    <w:basedOn w:val="DefaultParagraphFont"/>
    <w:link w:val="Textodeglobo"/>
    <w:uiPriority w:val="99"/>
    <w:semiHidden/>
    <w:rsid w:val="002631ae"/>
    <w:rPr>
      <w:rFonts w:ascii="Tahoma" w:hAnsi="Tahoma" w:eastAsia="Times New Roman" w:cs="Tahoma"/>
      <w:sz w:val="16"/>
      <w:szCs w:val="16"/>
      <w:lang w:val="es-ES" w:eastAsia="es-ES"/>
    </w:rPr>
  </w:style>
  <w:style w:type="character" w:styleId="ListLabel1">
    <w:name w:val="ListLabel 1"/>
    <w:rPr>
      <w:rFonts w:eastAsia="Times New Roman" w:cs="Times New Roman"/>
    </w:rPr>
  </w:style>
  <w:style w:type="character" w:styleId="ListLabel2">
    <w:name w:val="ListLabel 2"/>
    <w:rPr>
      <w:b w:val="false"/>
    </w:rPr>
  </w:style>
  <w:style w:type="character" w:styleId="ListLabel3">
    <w:name w:val="ListLabel 3"/>
    <w:rPr>
      <w:rFonts w:cs="Courier New"/>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link w:val="TextoindependienteCar"/>
    <w:rsid w:val="002631ae"/>
    <w:pPr>
      <w:spacing w:lineRule="auto" w:line="288"/>
      <w:jc w:val="both"/>
    </w:pPr>
    <w:rPr>
      <w:rFonts w:ascii="Garamond" w:hAnsi="Garamond"/>
      <w:sz w:val="22"/>
      <w:szCs w:val="20"/>
      <w:lang w:val="es-C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Piedepgina">
    <w:name w:val="Pie de página"/>
    <w:basedOn w:val="Normal"/>
    <w:link w:val="PiedepginaCar"/>
    <w:rsid w:val="002631ae"/>
    <w:pPr>
      <w:tabs>
        <w:tab w:val="center" w:pos="4252" w:leader="none"/>
        <w:tab w:val="right" w:pos="8504" w:leader="none"/>
      </w:tabs>
    </w:pPr>
    <w:rPr/>
  </w:style>
  <w:style w:type="paragraph" w:styleId="Encabezamiento">
    <w:name w:val="Encabezamiento"/>
    <w:basedOn w:val="Normal"/>
    <w:link w:val="EncabezadoCar"/>
    <w:uiPriority w:val="99"/>
    <w:rsid w:val="002631ae"/>
    <w:pPr>
      <w:tabs>
        <w:tab w:val="center" w:pos="4252" w:leader="none"/>
        <w:tab w:val="right" w:pos="8504" w:leader="none"/>
      </w:tabs>
    </w:pPr>
    <w:rPr/>
  </w:style>
  <w:style w:type="paragraph" w:styleId="ListParagraph">
    <w:name w:val="List Paragraph"/>
    <w:basedOn w:val="Normal"/>
    <w:uiPriority w:val="34"/>
    <w:qFormat/>
    <w:rsid w:val="002631ae"/>
    <w:pPr>
      <w:spacing w:before="0" w:after="0"/>
      <w:ind w:left="720" w:hanging="0"/>
      <w:contextualSpacing/>
    </w:pPr>
    <w:rPr/>
  </w:style>
  <w:style w:type="paragraph" w:styleId="BalloonText">
    <w:name w:val="Balloon Text"/>
    <w:basedOn w:val="Normal"/>
    <w:link w:val="TextodegloboCar"/>
    <w:uiPriority w:val="99"/>
    <w:semiHidden/>
    <w:unhideWhenUsed/>
    <w:rsid w:val="002631ae"/>
    <w:pPr/>
    <w:rPr>
      <w:rFonts w:ascii="Tahoma" w:hAnsi="Tahoma" w:cs="Tahoma"/>
      <w:sz w:val="16"/>
      <w:szCs w:val="16"/>
    </w:rPr>
  </w:style>
  <w:style w:type="paragraph" w:styleId="NormalWeb">
    <w:name w:val="Normal (Web)"/>
    <w:basedOn w:val="Normal"/>
    <w:uiPriority w:val="99"/>
    <w:unhideWhenUsed/>
    <w:rsid w:val="00de6399"/>
    <w:pPr>
      <w:spacing w:before="280" w:after="280"/>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topia.com.ar/default.htm" TargetMode="External"/><Relationship Id="rId5" Type="http://schemas.openxmlformats.org/officeDocument/2006/relationships/hyperlink" Target="http://psiconet.com/seminarios" TargetMode="External"/><Relationship Id="rId6" Type="http://schemas.openxmlformats.org/officeDocument/2006/relationships/hyperlink" Target="http://psiconet.com/seminarios" TargetMode="External"/><Relationship Id="rId7" Type="http://schemas.openxmlformats.org/officeDocument/2006/relationships/hyperlink" Target="http://www.conapam.go.cr/" TargetMode="External"/><Relationship Id="rId8" Type="http://schemas.openxmlformats.org/officeDocument/2006/relationships/hyperlink" Target="http://ccp.ucr.ac.cr/" TargetMode="External"/><Relationship Id="rId9" Type="http://schemas.openxmlformats.org/officeDocument/2006/relationships/hyperlink" Target="http://www.gerontologia.org/portal/index.php"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glossaryDocument" Target="glossary/document.xml"/><Relationship Id="rId1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7C2A09A748447E85EB2AAE23805DE1"/>
        <w:category>
          <w:name w:val="General"/>
          <w:gallery w:val="placeholder"/>
        </w:category>
        <w:types>
          <w:type w:val="bbPlcHdr"/>
        </w:types>
        <w:behaviors>
          <w:behavior w:val="content"/>
        </w:behaviors>
        <w:guid w:val="{5DA0BAF8-3078-484D-B1B4-9947EC44A204}"/>
      </w:docPartPr>
      <w:docPartBody>
        <w:p w:rsidR="00AF17FD" w:rsidRDefault="000F33BF" w:rsidP="000F33BF">
          <w:pPr>
            <w:pStyle w:val="B57C2A09A748447E85EB2AAE23805DE1"/>
          </w:pPr>
          <w:r>
            <w:rPr>
              <w:lang w:val="es-ES"/>
            </w:rPr>
            <w:t>[Escriba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altName w:val="Arabic Typeset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33BF"/>
    <w:rsid w:val="00022843"/>
    <w:rsid w:val="000F33BF"/>
    <w:rsid w:val="006378F9"/>
    <w:rsid w:val="00AF17FD"/>
    <w:rsid w:val="00DA506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7C2A09A748447E85EB2AAE23805DE1">
    <w:name w:val="B57C2A09A748447E85EB2AAE23805DE1"/>
    <w:rsid w:val="000F33BF"/>
  </w:style>
  <w:style w:type="paragraph" w:customStyle="1" w:styleId="10763A0C3FAF42B18D30A2158AFE73F7">
    <w:name w:val="10763A0C3FAF42B18D30A2158AFE73F7"/>
    <w:rsid w:val="000F33B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70F3-56CA-4FB7-9D87-5FE2A89E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LibreOffice/4.3.2.2$Windows_x86 LibreOffice_project/edfb5295ba211bd31ad47d0bad0118690f76407d</Application>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2015-03-16T22:39:00Z</dcterms:created>
  <dc:creator>Escuela de Psicología</dc:creator>
  <dc:language>es-CR</dc:language>
  <dcterms:modified xsi:type="dcterms:W3CDTF">2015-06-06T20:58:39Z</dcterms:modified>
  <cp:revision>3</cp:revision>
</cp:coreProperties>
</file>