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B4" w:rsidRPr="00145C2C" w:rsidRDefault="00697402">
      <w:pPr>
        <w:ind w:firstLine="0"/>
        <w:jc w:val="center"/>
        <w:rPr>
          <w:b/>
          <w:color w:val="000099"/>
          <w:szCs w:val="20"/>
        </w:rPr>
      </w:pPr>
      <w:r w:rsidRPr="00145C2C">
        <w:rPr>
          <w:b/>
          <w:color w:val="000099"/>
          <w:szCs w:val="20"/>
        </w:rPr>
        <w:t>PROGRAMA DEL CURSO</w:t>
      </w:r>
    </w:p>
    <w:p w:rsidR="00783DB4" w:rsidRPr="00145C2C" w:rsidRDefault="00697402">
      <w:pPr>
        <w:ind w:firstLine="0"/>
        <w:jc w:val="center"/>
        <w:rPr>
          <w:b/>
          <w:color w:val="000099"/>
          <w:szCs w:val="20"/>
        </w:rPr>
      </w:pPr>
      <w:r w:rsidRPr="00145C2C">
        <w:rPr>
          <w:b/>
          <w:color w:val="000099"/>
          <w:szCs w:val="20"/>
        </w:rPr>
        <w:t>II-0504 ADMINISTRACION FINANCIERA Y CONTABLE I</w:t>
      </w:r>
    </w:p>
    <w:p w:rsidR="00783DB4" w:rsidRPr="00145C2C" w:rsidRDefault="00783DB4">
      <w:pPr>
        <w:jc w:val="center"/>
        <w:rPr>
          <w:b/>
          <w:color w:val="000099"/>
          <w:szCs w:val="20"/>
        </w:rPr>
      </w:pPr>
    </w:p>
    <w:p w:rsidR="00783DB4" w:rsidRPr="00145C2C" w:rsidRDefault="0033528A">
      <w:pPr>
        <w:jc w:val="center"/>
        <w:rPr>
          <w:b/>
          <w:color w:val="000099"/>
          <w:szCs w:val="20"/>
        </w:rPr>
      </w:pPr>
      <w:r w:rsidRPr="00145C2C">
        <w:rPr>
          <w:b/>
          <w:color w:val="000099"/>
          <w:szCs w:val="20"/>
        </w:rPr>
        <w:t>I SEMESTRE DEL 2018</w:t>
      </w:r>
    </w:p>
    <w:p w:rsidR="00783DB4" w:rsidRPr="00145C2C" w:rsidRDefault="00A9412B">
      <w:pPr>
        <w:jc w:val="center"/>
        <w:rPr>
          <w:szCs w:val="20"/>
        </w:rPr>
      </w:pPr>
      <w:r w:rsidRPr="00145C2C">
        <w:rPr>
          <w:szCs w:val="20"/>
        </w:rPr>
        <w:t>Docentes</w:t>
      </w:r>
      <w:r w:rsidR="00697402" w:rsidRPr="00145C2C">
        <w:rPr>
          <w:szCs w:val="20"/>
        </w:rPr>
        <w:t>:</w:t>
      </w:r>
    </w:p>
    <w:p w:rsidR="00783DB4" w:rsidRPr="00145C2C" w:rsidRDefault="00783DB4">
      <w:pPr>
        <w:jc w:val="center"/>
        <w:rPr>
          <w:rStyle w:val="Textodelmarcadordeposicin"/>
          <w:color w:val="00000A"/>
          <w:szCs w:val="20"/>
        </w:rPr>
      </w:pPr>
    </w:p>
    <w:p w:rsidR="00B92BE4" w:rsidRPr="00145C2C" w:rsidRDefault="00B92BE4" w:rsidP="00B92BE4">
      <w:pPr>
        <w:jc w:val="center"/>
        <w:rPr>
          <w:rStyle w:val="Textodelmarcadordeposicin"/>
          <w:color w:val="auto"/>
          <w:szCs w:val="20"/>
        </w:rPr>
      </w:pPr>
      <w:r w:rsidRPr="00145C2C">
        <w:rPr>
          <w:rStyle w:val="Textodelmarcadordeposicin"/>
          <w:color w:val="auto"/>
          <w:szCs w:val="20"/>
        </w:rPr>
        <w:t>Lic. Fernando Jiménez Aparicio (Sede Rodrigo Facio) COORDINADOR</w:t>
      </w:r>
    </w:p>
    <w:p w:rsidR="00B92BE4" w:rsidRPr="00145C2C" w:rsidRDefault="00B92BE4" w:rsidP="00B92BE4">
      <w:pPr>
        <w:jc w:val="center"/>
        <w:rPr>
          <w:rStyle w:val="Textodelmarcadordeposicin"/>
          <w:color w:val="auto"/>
          <w:szCs w:val="20"/>
        </w:rPr>
      </w:pPr>
      <w:r w:rsidRPr="00145C2C">
        <w:rPr>
          <w:rStyle w:val="Textodelmarcadordeposicin"/>
          <w:color w:val="auto"/>
          <w:szCs w:val="20"/>
        </w:rPr>
        <w:t xml:space="preserve"> Ing. Roy Delgado (Sede Interuniversitaria de Alajuela)</w:t>
      </w:r>
    </w:p>
    <w:p w:rsidR="00B92BE4" w:rsidRPr="00145C2C" w:rsidRDefault="00B92BE4" w:rsidP="00B92BE4">
      <w:pPr>
        <w:jc w:val="center"/>
        <w:rPr>
          <w:rStyle w:val="Textodelmarcadordeposicin"/>
          <w:color w:val="auto"/>
          <w:szCs w:val="20"/>
        </w:rPr>
      </w:pPr>
      <w:r w:rsidRPr="00145C2C">
        <w:rPr>
          <w:rStyle w:val="Textodelmarcadordeposicin"/>
          <w:color w:val="auto"/>
          <w:szCs w:val="20"/>
        </w:rPr>
        <w:t>Licda. Martha Elena Rojas Rojas (Sede de Occidente)</w:t>
      </w:r>
    </w:p>
    <w:p w:rsidR="00A9412B" w:rsidRPr="00145C2C" w:rsidRDefault="00A9412B">
      <w:pPr>
        <w:jc w:val="center"/>
        <w:rPr>
          <w:rStyle w:val="Textodelmarcadordeposicin"/>
          <w:color w:val="00000A"/>
          <w:szCs w:val="20"/>
        </w:rPr>
      </w:pPr>
    </w:p>
    <w:p w:rsidR="00783DB4" w:rsidRPr="00145C2C" w:rsidRDefault="00697402">
      <w:pPr>
        <w:pStyle w:val="Encabezado1"/>
        <w:shd w:val="clear" w:color="auto" w:fill="DBE5F1"/>
        <w:rPr>
          <w:sz w:val="20"/>
          <w:szCs w:val="20"/>
        </w:rPr>
      </w:pPr>
      <w:r w:rsidRPr="00145C2C">
        <w:rPr>
          <w:sz w:val="20"/>
          <w:szCs w:val="20"/>
        </w:rPr>
        <w:t xml:space="preserve">GENERALIDADES DEL CURSO </w:t>
      </w:r>
    </w:p>
    <w:p w:rsidR="00EF6C52" w:rsidRPr="00145C2C" w:rsidRDefault="00EF6C52" w:rsidP="00EF6C52">
      <w:pPr>
        <w:rPr>
          <w:rFonts w:eastAsia="Verdana" w:cs="Verdana"/>
          <w:szCs w:val="20"/>
          <w:highlight w:val="yellow"/>
          <w:lang w:val="es-CR"/>
        </w:rPr>
      </w:pPr>
    </w:p>
    <w:p w:rsidR="00EF6C52" w:rsidRPr="00145C2C" w:rsidRDefault="00EF6C52" w:rsidP="00EF6C52">
      <w:pPr>
        <w:rPr>
          <w:rFonts w:cs="Verdana"/>
          <w:b/>
          <w:bCs/>
          <w:szCs w:val="20"/>
          <w:lang w:val="pt-BR"/>
        </w:rPr>
      </w:pPr>
      <w:r w:rsidRPr="00145C2C">
        <w:rPr>
          <w:rFonts w:cs="Verdana"/>
          <w:b/>
          <w:bCs/>
          <w:szCs w:val="20"/>
          <w:lang w:val="pt-BR"/>
        </w:rPr>
        <w:t>Sede de Occidente:</w:t>
      </w:r>
    </w:p>
    <w:p w:rsidR="00B92BE4" w:rsidRPr="00145C2C" w:rsidRDefault="00B92BE4" w:rsidP="00B92BE4">
      <w:pPr>
        <w:rPr>
          <w:szCs w:val="20"/>
        </w:rPr>
      </w:pPr>
      <w:r w:rsidRPr="00145C2C">
        <w:rPr>
          <w:szCs w:val="20"/>
        </w:rPr>
        <w:t>GRUPO: 001</w:t>
      </w:r>
    </w:p>
    <w:p w:rsidR="00B92BE4" w:rsidRPr="00145C2C" w:rsidRDefault="00B92BE4" w:rsidP="00B92BE4">
      <w:pPr>
        <w:rPr>
          <w:szCs w:val="20"/>
        </w:rPr>
      </w:pPr>
      <w:r w:rsidRPr="00145C2C">
        <w:rPr>
          <w:szCs w:val="20"/>
        </w:rPr>
        <w:t>CRÉDITOS: 02</w:t>
      </w:r>
    </w:p>
    <w:p w:rsidR="00B92BE4" w:rsidRPr="00145C2C" w:rsidRDefault="00B92BE4" w:rsidP="00B92BE4">
      <w:pPr>
        <w:rPr>
          <w:szCs w:val="20"/>
        </w:rPr>
      </w:pPr>
      <w:r w:rsidRPr="00145C2C">
        <w:rPr>
          <w:szCs w:val="20"/>
        </w:rPr>
        <w:t>HORARIO: K 5 a 7.50 pm</w:t>
      </w:r>
    </w:p>
    <w:p w:rsidR="00B92BE4" w:rsidRPr="00145C2C" w:rsidRDefault="00B92BE4" w:rsidP="00B92BE4">
      <w:pPr>
        <w:rPr>
          <w:szCs w:val="20"/>
        </w:rPr>
      </w:pPr>
      <w:r w:rsidRPr="00145C2C">
        <w:rPr>
          <w:szCs w:val="20"/>
        </w:rPr>
        <w:t xml:space="preserve">AULA: </w:t>
      </w:r>
    </w:p>
    <w:p w:rsidR="00B92BE4" w:rsidRPr="00145C2C" w:rsidRDefault="00B92BE4" w:rsidP="00B92BE4">
      <w:pPr>
        <w:rPr>
          <w:szCs w:val="20"/>
        </w:rPr>
      </w:pPr>
      <w:r w:rsidRPr="00145C2C">
        <w:rPr>
          <w:szCs w:val="20"/>
        </w:rPr>
        <w:t>HORARIO DE CONSULTA: A convenir con el profesor</w:t>
      </w:r>
    </w:p>
    <w:p w:rsidR="00EF6C52" w:rsidRPr="00145C2C" w:rsidRDefault="00EF6C52">
      <w:pPr>
        <w:rPr>
          <w:szCs w:val="20"/>
        </w:rPr>
      </w:pPr>
    </w:p>
    <w:p w:rsidR="00783DB4" w:rsidRPr="00145C2C" w:rsidRDefault="00697402">
      <w:pPr>
        <w:rPr>
          <w:szCs w:val="20"/>
        </w:rPr>
      </w:pPr>
      <w:r w:rsidRPr="00145C2C">
        <w:rPr>
          <w:szCs w:val="20"/>
        </w:rPr>
        <w:t xml:space="preserve">REQUISITOS: II-0201 INTRODUCCION A LA INGENIERIA INDUSTRIAL </w:t>
      </w:r>
    </w:p>
    <w:p w:rsidR="00783DB4" w:rsidRPr="00145C2C" w:rsidRDefault="00697402">
      <w:pPr>
        <w:rPr>
          <w:szCs w:val="20"/>
        </w:rPr>
      </w:pPr>
      <w:r w:rsidRPr="00145C2C">
        <w:rPr>
          <w:szCs w:val="20"/>
        </w:rPr>
        <w:t>CORREQUISITOS: No tiene</w:t>
      </w:r>
    </w:p>
    <w:p w:rsidR="00783DB4" w:rsidRPr="00145C2C" w:rsidRDefault="00697402">
      <w:pPr>
        <w:pStyle w:val="Encabezado1"/>
        <w:shd w:val="clear" w:color="auto" w:fill="DBE5F1"/>
        <w:rPr>
          <w:sz w:val="20"/>
          <w:szCs w:val="20"/>
        </w:rPr>
      </w:pPr>
      <w:r w:rsidRPr="00145C2C">
        <w:rPr>
          <w:sz w:val="20"/>
          <w:szCs w:val="20"/>
        </w:rPr>
        <w:t>DESCRIPCIÓN DEL CURSO</w:t>
      </w:r>
    </w:p>
    <w:p w:rsidR="000C5F98" w:rsidRPr="00145C2C" w:rsidRDefault="000C5F98" w:rsidP="000C5F98">
      <w:pPr>
        <w:pStyle w:val="Contenidodelmarco"/>
        <w:spacing w:after="240"/>
        <w:ind w:firstLine="0"/>
        <w:rPr>
          <w:rFonts w:cs="Arial"/>
          <w:szCs w:val="20"/>
        </w:rPr>
      </w:pPr>
      <w:r w:rsidRPr="00145C2C">
        <w:rPr>
          <w:rFonts w:cs="Verdana"/>
          <w:szCs w:val="20"/>
        </w:rPr>
        <w:t xml:space="preserve">El curso Administración Financiera y Contable I es un curso del quinto semestre de la Licenciatura en Ingeniería Industrial, en el cual se estudian </w:t>
      </w:r>
      <w:r w:rsidRPr="00145C2C">
        <w:rPr>
          <w:rFonts w:cs="Arial"/>
          <w:szCs w:val="20"/>
        </w:rPr>
        <w:t>los fundamentos teóricos prácticos de la Contabilidad Financiera y de la administración financiera corto plazo.</w:t>
      </w:r>
    </w:p>
    <w:p w:rsidR="000C5F98" w:rsidRPr="00145C2C" w:rsidRDefault="000C5F98" w:rsidP="000C5F98">
      <w:pPr>
        <w:pStyle w:val="Contenidodelmarco"/>
        <w:spacing w:after="240"/>
        <w:ind w:firstLine="0"/>
        <w:rPr>
          <w:rFonts w:cs="Arial"/>
          <w:szCs w:val="20"/>
        </w:rPr>
      </w:pPr>
      <w:r w:rsidRPr="00145C2C">
        <w:rPr>
          <w:rFonts w:cs="Arial"/>
          <w:szCs w:val="20"/>
        </w:rPr>
        <w:t>El curso es una introducción al área de la Ingeniería Económica y Financiera que al aplicar las herramientas y conocimientos adquiridos los estudiantes tienen la posibilidad comprender cómo la contabilidad y el análisis financiero permite observar como los acontecimientos económicos influyen en las empresas y brindan apoyo al proceso de toma de decisiones; lo que es muy importante en un mundo globalizado y cada vez más competitivo.</w:t>
      </w:r>
    </w:p>
    <w:p w:rsidR="00783DB4" w:rsidRPr="00145C2C" w:rsidRDefault="000C5F98" w:rsidP="000C5F98">
      <w:pPr>
        <w:ind w:firstLine="0"/>
        <w:rPr>
          <w:rFonts w:cs="Arial"/>
          <w:szCs w:val="20"/>
        </w:rPr>
      </w:pPr>
      <w:r w:rsidRPr="00145C2C">
        <w:rPr>
          <w:rFonts w:cs="Arial"/>
          <w:szCs w:val="20"/>
        </w:rPr>
        <w:t xml:space="preserve">El curso de Administración Financiera y Contable I no requiere conocimientos previos de contabilidad o finanzas. </w:t>
      </w:r>
      <w:r w:rsidR="00145C2C" w:rsidRPr="00145C2C">
        <w:rPr>
          <w:rFonts w:cs="Arial"/>
          <w:szCs w:val="20"/>
        </w:rPr>
        <w:t>Además,</w:t>
      </w:r>
      <w:r w:rsidRPr="00145C2C">
        <w:rPr>
          <w:rFonts w:cs="Arial"/>
          <w:szCs w:val="20"/>
        </w:rPr>
        <w:t xml:space="preserve"> como curso introductorio se imparten conceptos básicos que les sirven a los estudiantes en los siguientes cursos de Administración Financiera y Contable II e Ingeniería Económica y Financiera.</w:t>
      </w:r>
    </w:p>
    <w:p w:rsidR="00783DB4" w:rsidRPr="00145C2C" w:rsidRDefault="00697402">
      <w:pPr>
        <w:pStyle w:val="Encabezado1"/>
        <w:shd w:val="clear" w:color="auto" w:fill="DBE5F1"/>
        <w:rPr>
          <w:sz w:val="20"/>
          <w:szCs w:val="20"/>
        </w:rPr>
      </w:pPr>
      <w:r w:rsidRPr="00145C2C">
        <w:rPr>
          <w:sz w:val="20"/>
          <w:szCs w:val="20"/>
        </w:rPr>
        <w:t xml:space="preserve">OBJETIVOS </w:t>
      </w:r>
    </w:p>
    <w:p w:rsidR="00783DB4" w:rsidRPr="00145C2C" w:rsidRDefault="00697402">
      <w:pPr>
        <w:rPr>
          <w:b/>
          <w:szCs w:val="20"/>
        </w:rPr>
      </w:pPr>
      <w:r w:rsidRPr="00145C2C">
        <w:rPr>
          <w:b/>
          <w:szCs w:val="20"/>
        </w:rPr>
        <w:t>Objetivo general:</w:t>
      </w:r>
    </w:p>
    <w:p w:rsidR="000C5F98" w:rsidRPr="00145C2C" w:rsidRDefault="000C5F98">
      <w:pPr>
        <w:rPr>
          <w:b/>
          <w:szCs w:val="20"/>
        </w:rPr>
      </w:pPr>
    </w:p>
    <w:p w:rsidR="00783DB4" w:rsidRPr="00145C2C" w:rsidRDefault="00697402" w:rsidP="000C5F98">
      <w:pPr>
        <w:ind w:firstLine="0"/>
        <w:rPr>
          <w:b/>
          <w:szCs w:val="20"/>
        </w:rPr>
      </w:pPr>
      <w:r w:rsidRPr="00145C2C">
        <w:rPr>
          <w:rFonts w:cs="Arial"/>
          <w:szCs w:val="20"/>
        </w:rPr>
        <w:t xml:space="preserve">Al finalizar el curso el estudiante será capaz </w:t>
      </w:r>
      <w:r w:rsidRPr="00145C2C">
        <w:rPr>
          <w:szCs w:val="20"/>
        </w:rPr>
        <w:t>de presentar de una manera coherente y ordenada la información contable financiera necesaria para la toma de decisiones, así como saber interpretar la información que se desprende del análisis de los estados financieros.</w:t>
      </w:r>
    </w:p>
    <w:p w:rsidR="00783DB4" w:rsidRPr="00145C2C" w:rsidRDefault="00783DB4">
      <w:pPr>
        <w:rPr>
          <w:b/>
          <w:szCs w:val="20"/>
        </w:rPr>
      </w:pPr>
    </w:p>
    <w:p w:rsidR="00783DB4" w:rsidRPr="00145C2C" w:rsidRDefault="00697402">
      <w:pPr>
        <w:rPr>
          <w:b/>
          <w:szCs w:val="20"/>
        </w:rPr>
      </w:pPr>
      <w:r w:rsidRPr="00145C2C">
        <w:rPr>
          <w:b/>
          <w:szCs w:val="20"/>
        </w:rPr>
        <w:t xml:space="preserve">Objetivos específicos: </w:t>
      </w:r>
    </w:p>
    <w:p w:rsidR="000C5F98" w:rsidRPr="00145C2C" w:rsidRDefault="000C5F98">
      <w:pPr>
        <w:rPr>
          <w:b/>
          <w:color w:val="FF0000"/>
          <w:szCs w:val="20"/>
        </w:rPr>
      </w:pPr>
    </w:p>
    <w:p w:rsidR="00783DB4" w:rsidRPr="00145C2C" w:rsidRDefault="00697402">
      <w:pPr>
        <w:ind w:firstLine="0"/>
        <w:outlineLvl w:val="0"/>
        <w:rPr>
          <w:rFonts w:cs="Arial"/>
          <w:szCs w:val="20"/>
        </w:rPr>
      </w:pPr>
      <w:r w:rsidRPr="00145C2C">
        <w:rPr>
          <w:rFonts w:cs="Arial"/>
          <w:szCs w:val="20"/>
        </w:rPr>
        <w:t>Al finalizar el curso el estudiante será capaz de:</w:t>
      </w:r>
    </w:p>
    <w:p w:rsidR="00783DB4" w:rsidRPr="00145C2C" w:rsidRDefault="00697402">
      <w:pPr>
        <w:pStyle w:val="Prrafodelista"/>
        <w:numPr>
          <w:ilvl w:val="0"/>
          <w:numId w:val="2"/>
        </w:numPr>
        <w:rPr>
          <w:rFonts w:cs="Arial"/>
          <w:szCs w:val="20"/>
        </w:rPr>
      </w:pPr>
      <w:r w:rsidRPr="00145C2C">
        <w:rPr>
          <w:rFonts w:cs="Arial"/>
          <w:szCs w:val="20"/>
        </w:rPr>
        <w:t>Explicar cómo el sistema de información contable ayuda para tomar decisiones económicas.</w:t>
      </w:r>
    </w:p>
    <w:p w:rsidR="00783DB4" w:rsidRPr="00145C2C" w:rsidRDefault="00697402">
      <w:pPr>
        <w:pStyle w:val="Prrafodelista"/>
        <w:numPr>
          <w:ilvl w:val="0"/>
          <w:numId w:val="2"/>
        </w:numPr>
        <w:rPr>
          <w:rFonts w:cs="Arial"/>
          <w:szCs w:val="20"/>
        </w:rPr>
      </w:pPr>
      <w:r w:rsidRPr="00145C2C">
        <w:rPr>
          <w:rFonts w:cs="Arial"/>
          <w:szCs w:val="20"/>
        </w:rPr>
        <w:lastRenderedPageBreak/>
        <w:t>Aprender a utilizar la contabilidad como una herramienta para mejorar la comprensión de los eventos económicos</w:t>
      </w:r>
    </w:p>
    <w:p w:rsidR="00783DB4" w:rsidRPr="00145C2C" w:rsidRDefault="00697402">
      <w:pPr>
        <w:pStyle w:val="Prrafodelista"/>
        <w:numPr>
          <w:ilvl w:val="0"/>
          <w:numId w:val="2"/>
        </w:numPr>
        <w:rPr>
          <w:rFonts w:cs="Arial"/>
          <w:szCs w:val="20"/>
        </w:rPr>
      </w:pPr>
      <w:r w:rsidRPr="00145C2C">
        <w:rPr>
          <w:rFonts w:cs="Arial"/>
          <w:szCs w:val="20"/>
        </w:rPr>
        <w:t>Analizar los componentes de un sistema contable y elaborar los estados financieros básicos.</w:t>
      </w:r>
    </w:p>
    <w:p w:rsidR="00783DB4" w:rsidRPr="00145C2C" w:rsidRDefault="00697402">
      <w:pPr>
        <w:pStyle w:val="Prrafodelista"/>
        <w:numPr>
          <w:ilvl w:val="0"/>
          <w:numId w:val="2"/>
        </w:numPr>
        <w:rPr>
          <w:rFonts w:cs="Arial"/>
          <w:szCs w:val="20"/>
        </w:rPr>
      </w:pPr>
      <w:r w:rsidRPr="00145C2C">
        <w:rPr>
          <w:rFonts w:cs="Arial"/>
          <w:szCs w:val="20"/>
        </w:rPr>
        <w:t>Analizar, registrar y relacionar las transacciones de las empresas con los cambios en los estados financieros.</w:t>
      </w:r>
    </w:p>
    <w:p w:rsidR="00783DB4" w:rsidRPr="00145C2C" w:rsidRDefault="00697402">
      <w:pPr>
        <w:pStyle w:val="Prrafodelista"/>
        <w:numPr>
          <w:ilvl w:val="0"/>
          <w:numId w:val="2"/>
        </w:numPr>
        <w:rPr>
          <w:rFonts w:cs="Arial"/>
          <w:szCs w:val="20"/>
        </w:rPr>
      </w:pPr>
      <w:r w:rsidRPr="00145C2C">
        <w:rPr>
          <w:rFonts w:cs="Arial"/>
          <w:szCs w:val="20"/>
        </w:rPr>
        <w:t>Usar las razones financieras para evaluar el desempeño de las entidades económicas.</w:t>
      </w:r>
    </w:p>
    <w:p w:rsidR="00783DB4" w:rsidRPr="00145C2C" w:rsidRDefault="00697402">
      <w:pPr>
        <w:pStyle w:val="Prrafodelista"/>
        <w:numPr>
          <w:ilvl w:val="0"/>
          <w:numId w:val="2"/>
        </w:numPr>
        <w:rPr>
          <w:rFonts w:cs="Arial"/>
          <w:szCs w:val="20"/>
        </w:rPr>
      </w:pPr>
      <w:r w:rsidRPr="00145C2C">
        <w:rPr>
          <w:rFonts w:cs="Arial"/>
          <w:szCs w:val="20"/>
        </w:rPr>
        <w:t xml:space="preserve">Analizar la administración financiera a corto plazo y sus principales estrategias. </w:t>
      </w:r>
    </w:p>
    <w:p w:rsidR="00783DB4" w:rsidRPr="00145C2C" w:rsidRDefault="00697402">
      <w:pPr>
        <w:pStyle w:val="Encabezado1"/>
        <w:shd w:val="clear" w:color="auto" w:fill="DBE5F1"/>
        <w:rPr>
          <w:sz w:val="20"/>
          <w:szCs w:val="20"/>
        </w:rPr>
      </w:pPr>
      <w:r w:rsidRPr="00145C2C">
        <w:rPr>
          <w:sz w:val="20"/>
          <w:szCs w:val="20"/>
        </w:rPr>
        <w:t>ATRIBUTOS DEL PERFIL DEL GRADUADO</w:t>
      </w:r>
    </w:p>
    <w:p w:rsidR="00EF6C52" w:rsidRPr="00145C2C" w:rsidRDefault="00EF6C52" w:rsidP="00EF6C52">
      <w:pPr>
        <w:rPr>
          <w:szCs w:val="20"/>
        </w:rPr>
      </w:pPr>
      <w:r w:rsidRPr="00145C2C">
        <w:rPr>
          <w:szCs w:val="20"/>
        </w:rPr>
        <w:t xml:space="preserve">La acreditación es un proceso de evaluación voluntario, que busca determinar si un programa formativo cumple los estándares de calidad establecidos. A nivel internacional existe el Acuerdo de Washington, el cual regula a las agencias de acreditación de programas de ingeniería, definiendo aspectos comunes a lograr en todos los programas de esta rama. </w:t>
      </w:r>
    </w:p>
    <w:p w:rsidR="00EF6C52" w:rsidRPr="00145C2C" w:rsidRDefault="00EF6C52" w:rsidP="00EF6C52">
      <w:pPr>
        <w:rPr>
          <w:szCs w:val="20"/>
        </w:rPr>
      </w:pPr>
      <w:r w:rsidRPr="00145C2C">
        <w:rPr>
          <w:szCs w:val="20"/>
        </w:rPr>
        <w:t>El acuerdo de Washington tiene adheridos más de 20 agencias de diferentes países, incluyendo la Canadian Accreditation Board (CEAB) y más recientemente de forma interina, la Agencia de Acreditación de Programas de Ingeniería (AAPIA) del Colegio Federado de Ingenieros y Arquitectos (CFIA).</w:t>
      </w:r>
    </w:p>
    <w:p w:rsidR="00EF6C52" w:rsidRPr="00145C2C" w:rsidRDefault="00EF6C52" w:rsidP="00EF6C52">
      <w:pPr>
        <w:rPr>
          <w:szCs w:val="20"/>
        </w:rPr>
      </w:pPr>
      <w:r w:rsidRPr="00145C2C">
        <w:rPr>
          <w:szCs w:val="20"/>
        </w:rPr>
        <w:t xml:space="preserve">El programa de Licenciatura en Ingeniería Industrial de la Universidad de Costa Rica es reconocido como sustancialmente equivalente desde el año 2000 por la CEAB. Desde el año 2000 se cuenta con la acreditación del Sistema Nacional de Acreditación de la Educación Superior (SINAES) y a partir de 2017 por la AAPIA. </w:t>
      </w:r>
    </w:p>
    <w:p w:rsidR="00EF6C52" w:rsidRPr="00145C2C" w:rsidRDefault="00EF6C52" w:rsidP="00EF6C52">
      <w:pPr>
        <w:rPr>
          <w:szCs w:val="20"/>
        </w:rPr>
      </w:pPr>
      <w:r w:rsidRPr="00145C2C">
        <w:rPr>
          <w:szCs w:val="20"/>
        </w:rPr>
        <w:t>Entre los aspectos comunes definidos por el Acuerdo de Washington, se encuentra el enfoque de formación de atributos y por tanto la definición de los atributos que todo graduado de un programa de ingeniería debe cumplir.</w:t>
      </w:r>
    </w:p>
    <w:p w:rsidR="00EF6C52" w:rsidRPr="00145C2C" w:rsidRDefault="00EF6C52" w:rsidP="00EF6C52">
      <w:pPr>
        <w:rPr>
          <w:szCs w:val="20"/>
        </w:rPr>
      </w:pPr>
      <w:r w:rsidRPr="00145C2C">
        <w:rPr>
          <w:szCs w:val="20"/>
        </w:rPr>
        <w:t>Los atributos de los graduados se definen como: “(…) conjunto de resultados individuales evaluables, que son los componentes indicativos del potencial del graduado para adquirir la competencia para la práctica profesional” (WA, 2015).</w:t>
      </w:r>
    </w:p>
    <w:p w:rsidR="00EF6C52" w:rsidRPr="00145C2C" w:rsidRDefault="00EF6C52" w:rsidP="00EF6C52">
      <w:pPr>
        <w:rPr>
          <w:szCs w:val="20"/>
        </w:rPr>
      </w:pPr>
      <w:r w:rsidRPr="00145C2C">
        <w:rPr>
          <w:szCs w:val="20"/>
        </w:rPr>
        <w:t xml:space="preserve">Nuestro programa ha definido, a saber, 12 atributos; los cuales han sido desglosados cada uno, en un conjunto de indicadores medibles para demostrar que los estudiantes poseen este atributo. </w:t>
      </w:r>
    </w:p>
    <w:p w:rsidR="00EF6C52" w:rsidRPr="00145C2C" w:rsidRDefault="00EF6C52" w:rsidP="00EF6C52">
      <w:pPr>
        <w:spacing w:before="240"/>
        <w:rPr>
          <w:szCs w:val="20"/>
          <w:lang w:val="es-CR"/>
        </w:rPr>
      </w:pPr>
    </w:p>
    <w:p w:rsidR="00EF6C52" w:rsidRPr="00145C2C" w:rsidRDefault="00EF6C52" w:rsidP="00EF6C52">
      <w:pPr>
        <w:rPr>
          <w:szCs w:val="20"/>
        </w:rPr>
      </w:pPr>
      <w:r w:rsidRPr="00145C2C">
        <w:rPr>
          <w:noProof/>
          <w:szCs w:val="20"/>
          <w:lang w:val="es-CR" w:eastAsia="es-CR"/>
        </w:rPr>
        <w:lastRenderedPageBreak/>
        <w:drawing>
          <wp:inline distT="0" distB="0" distL="0" distR="0">
            <wp:extent cx="6040755" cy="3467735"/>
            <wp:effectExtent l="0" t="0" r="0" b="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F6C52" w:rsidRPr="00145C2C" w:rsidRDefault="00EF6C52" w:rsidP="00EF6C52">
      <w:pPr>
        <w:rPr>
          <w:szCs w:val="20"/>
        </w:rPr>
      </w:pPr>
    </w:p>
    <w:p w:rsidR="000D10C1" w:rsidRPr="00145C2C" w:rsidRDefault="000D10C1" w:rsidP="000D10C1">
      <w:pPr>
        <w:rPr>
          <w:szCs w:val="20"/>
        </w:rPr>
      </w:pPr>
      <w:r w:rsidRPr="00145C2C">
        <w:rPr>
          <w:szCs w:val="20"/>
        </w:rPr>
        <w:t xml:space="preserve">Como parte del curso de Administración Financiera </w:t>
      </w:r>
      <w:r w:rsidR="001A2654" w:rsidRPr="00145C2C">
        <w:rPr>
          <w:szCs w:val="20"/>
        </w:rPr>
        <w:t>y</w:t>
      </w:r>
      <w:r w:rsidRPr="00145C2C">
        <w:rPr>
          <w:szCs w:val="20"/>
        </w:rPr>
        <w:t xml:space="preserve"> Contable I, se aporta en la formación de los atributos anteriores; sin embargo, no se realiza la medición específica de ninguno.</w:t>
      </w:r>
    </w:p>
    <w:p w:rsidR="00EF6C52" w:rsidRPr="00145C2C" w:rsidRDefault="00EF6C52">
      <w:pPr>
        <w:ind w:firstLine="0"/>
        <w:rPr>
          <w:szCs w:val="20"/>
        </w:rPr>
      </w:pPr>
    </w:p>
    <w:p w:rsidR="00783DB4" w:rsidRPr="00145C2C" w:rsidRDefault="00697402">
      <w:pPr>
        <w:pStyle w:val="Encabezado1"/>
        <w:shd w:val="clear" w:color="auto" w:fill="DBE5F1"/>
        <w:rPr>
          <w:sz w:val="20"/>
          <w:szCs w:val="20"/>
        </w:rPr>
      </w:pPr>
      <w:r w:rsidRPr="00145C2C">
        <w:rPr>
          <w:sz w:val="20"/>
          <w:szCs w:val="20"/>
        </w:rPr>
        <w:t>ACTIVIDADES</w:t>
      </w:r>
    </w:p>
    <w:tbl>
      <w:tblPr>
        <w:tblStyle w:val="Tablaconcuadrcula"/>
        <w:tblW w:w="0" w:type="auto"/>
        <w:tblInd w:w="-5" w:type="dxa"/>
        <w:tblLook w:val="04A0"/>
      </w:tblPr>
      <w:tblGrid>
        <w:gridCol w:w="6507"/>
        <w:gridCol w:w="3269"/>
      </w:tblGrid>
      <w:tr w:rsidR="00C360D8" w:rsidRPr="00C360D8" w:rsidTr="00350F2C">
        <w:tc>
          <w:tcPr>
            <w:tcW w:w="6507" w:type="dxa"/>
          </w:tcPr>
          <w:p w:rsidR="00C360D8" w:rsidRPr="00145C2C" w:rsidRDefault="00C360D8" w:rsidP="00C360D8">
            <w:pPr>
              <w:ind w:firstLine="0"/>
              <w:rPr>
                <w:b/>
                <w:szCs w:val="20"/>
              </w:rPr>
            </w:pPr>
            <w:r w:rsidRPr="00145C2C">
              <w:rPr>
                <w:b/>
                <w:szCs w:val="20"/>
              </w:rPr>
              <w:t>Semana 1</w:t>
            </w:r>
            <w:r w:rsidRPr="00C360D8">
              <w:rPr>
                <w:b/>
                <w:szCs w:val="20"/>
              </w:rPr>
              <w:t>: Del 12 al 17 de marzo del 2018</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ind w:firstLine="0"/>
              <w:rPr>
                <w:b/>
                <w:szCs w:val="20"/>
              </w:rPr>
            </w:pPr>
            <w:r w:rsidRPr="00C360D8">
              <w:rPr>
                <w:b/>
                <w:szCs w:val="20"/>
              </w:rPr>
              <w:t>TEMA I: CONTABILIDAD: INFORMACION PARA LA TOMA DE DECISIONES</w:t>
            </w:r>
          </w:p>
          <w:p w:rsidR="00C360D8" w:rsidRPr="00C360D8" w:rsidRDefault="00C360D8" w:rsidP="00C360D8">
            <w:pPr>
              <w:numPr>
                <w:ilvl w:val="0"/>
                <w:numId w:val="19"/>
              </w:numPr>
              <w:contextualSpacing/>
              <w:rPr>
                <w:szCs w:val="20"/>
              </w:rPr>
            </w:pPr>
            <w:r w:rsidRPr="00C360D8">
              <w:rPr>
                <w:szCs w:val="20"/>
              </w:rPr>
              <w:t>La importancia de la información financiera y toma de decisiones</w:t>
            </w:r>
          </w:p>
          <w:p w:rsidR="00C360D8" w:rsidRPr="00C360D8" w:rsidRDefault="00C360D8" w:rsidP="00C360D8">
            <w:pPr>
              <w:numPr>
                <w:ilvl w:val="0"/>
                <w:numId w:val="19"/>
              </w:numPr>
              <w:contextualSpacing/>
              <w:rPr>
                <w:szCs w:val="20"/>
              </w:rPr>
            </w:pPr>
            <w:r w:rsidRPr="00C360D8">
              <w:rPr>
                <w:szCs w:val="20"/>
              </w:rPr>
              <w:t>Usuarios de la información contable</w:t>
            </w:r>
          </w:p>
          <w:p w:rsidR="00C360D8" w:rsidRPr="00C360D8" w:rsidRDefault="00C360D8" w:rsidP="00C360D8">
            <w:pPr>
              <w:numPr>
                <w:ilvl w:val="0"/>
                <w:numId w:val="19"/>
              </w:numPr>
              <w:contextualSpacing/>
              <w:rPr>
                <w:szCs w:val="20"/>
              </w:rPr>
            </w:pPr>
            <w:r w:rsidRPr="00C360D8">
              <w:rPr>
                <w:szCs w:val="20"/>
              </w:rPr>
              <w:t>Principios de contabilidad y Normas Internacionales de Información Financiera</w:t>
            </w:r>
          </w:p>
          <w:p w:rsidR="00C360D8" w:rsidRPr="00C360D8" w:rsidRDefault="00C360D8" w:rsidP="00C360D8">
            <w:pPr>
              <w:rPr>
                <w:szCs w:val="20"/>
              </w:rPr>
            </w:pPr>
          </w:p>
          <w:p w:rsidR="00C360D8" w:rsidRPr="00C360D8" w:rsidRDefault="00C360D8" w:rsidP="00C360D8">
            <w:pPr>
              <w:ind w:firstLine="0"/>
              <w:rPr>
                <w:b/>
                <w:szCs w:val="20"/>
              </w:rPr>
            </w:pPr>
            <w:r w:rsidRPr="00C360D8">
              <w:rPr>
                <w:b/>
                <w:szCs w:val="20"/>
              </w:rPr>
              <w:t>TEMA II: ESTADOS FINANCIEROS BÁSICOS</w:t>
            </w:r>
          </w:p>
          <w:p w:rsidR="00C360D8" w:rsidRPr="00C360D8" w:rsidRDefault="00C360D8" w:rsidP="00C360D8">
            <w:pPr>
              <w:numPr>
                <w:ilvl w:val="0"/>
                <w:numId w:val="20"/>
              </w:numPr>
              <w:contextualSpacing/>
              <w:rPr>
                <w:szCs w:val="20"/>
              </w:rPr>
            </w:pPr>
            <w:r w:rsidRPr="00C360D8">
              <w:rPr>
                <w:szCs w:val="20"/>
              </w:rPr>
              <w:t>El balance general</w:t>
            </w:r>
          </w:p>
          <w:p w:rsidR="00C360D8" w:rsidRPr="00C360D8" w:rsidRDefault="00C360D8" w:rsidP="00C360D8">
            <w:pPr>
              <w:numPr>
                <w:ilvl w:val="0"/>
                <w:numId w:val="20"/>
              </w:numPr>
              <w:contextualSpacing/>
              <w:rPr>
                <w:szCs w:val="20"/>
              </w:rPr>
            </w:pPr>
            <w:r w:rsidRPr="00C360D8">
              <w:rPr>
                <w:szCs w:val="20"/>
              </w:rPr>
              <w:t>La ecuación contable</w:t>
            </w:r>
          </w:p>
          <w:p w:rsidR="00C360D8" w:rsidRPr="00C360D8" w:rsidRDefault="00C360D8" w:rsidP="00C360D8">
            <w:pPr>
              <w:numPr>
                <w:ilvl w:val="0"/>
                <w:numId w:val="20"/>
              </w:numPr>
              <w:contextualSpacing/>
              <w:rPr>
                <w:szCs w:val="20"/>
              </w:rPr>
            </w:pPr>
            <w:r w:rsidRPr="00C360D8">
              <w:rPr>
                <w:szCs w:val="20"/>
              </w:rPr>
              <w:t>Efectos de las transacciones</w:t>
            </w:r>
          </w:p>
          <w:p w:rsidR="00C360D8" w:rsidRPr="00C360D8" w:rsidRDefault="00C360D8" w:rsidP="00C360D8">
            <w:pPr>
              <w:numPr>
                <w:ilvl w:val="0"/>
                <w:numId w:val="20"/>
              </w:numPr>
              <w:contextualSpacing/>
              <w:rPr>
                <w:szCs w:val="20"/>
              </w:rPr>
            </w:pPr>
            <w:r w:rsidRPr="00C360D8">
              <w:rPr>
                <w:szCs w:val="20"/>
              </w:rPr>
              <w:t>Tipos de propiedad</w:t>
            </w:r>
          </w:p>
          <w:p w:rsidR="00C360D8" w:rsidRPr="00C360D8" w:rsidRDefault="00C360D8" w:rsidP="00C360D8">
            <w:pPr>
              <w:numPr>
                <w:ilvl w:val="0"/>
                <w:numId w:val="20"/>
              </w:numPr>
              <w:contextualSpacing/>
              <w:rPr>
                <w:szCs w:val="20"/>
              </w:rPr>
            </w:pPr>
            <w:r w:rsidRPr="00C360D8">
              <w:rPr>
                <w:szCs w:val="20"/>
              </w:rPr>
              <w:t>Estados financieros</w:t>
            </w:r>
          </w:p>
        </w:tc>
        <w:tc>
          <w:tcPr>
            <w:tcW w:w="3269" w:type="dxa"/>
          </w:tcPr>
          <w:p w:rsidR="00C360D8" w:rsidRPr="00C360D8" w:rsidRDefault="00C360D8" w:rsidP="00C360D8">
            <w:pPr>
              <w:ind w:firstLine="0"/>
              <w:rPr>
                <w:szCs w:val="20"/>
              </w:rPr>
            </w:pPr>
          </w:p>
          <w:p w:rsidR="00C360D8" w:rsidRPr="00C360D8" w:rsidRDefault="00C360D8" w:rsidP="00C360D8">
            <w:pPr>
              <w:rPr>
                <w:rFonts w:cs="Times New Roman"/>
                <w:b/>
                <w:szCs w:val="20"/>
                <w:lang w:val="es-CR"/>
              </w:rPr>
            </w:pPr>
            <w:r w:rsidRPr="00C360D8">
              <w:rPr>
                <w:b/>
                <w:szCs w:val="20"/>
              </w:rPr>
              <w:t>Lecturas recomendadas</w:t>
            </w:r>
          </w:p>
          <w:p w:rsidR="00C360D8" w:rsidRPr="00C360D8" w:rsidRDefault="00C360D8" w:rsidP="00C360D8">
            <w:pPr>
              <w:ind w:firstLine="0"/>
              <w:rPr>
                <w:szCs w:val="20"/>
              </w:rPr>
            </w:pPr>
            <w:r w:rsidRPr="00C360D8">
              <w:rPr>
                <w:szCs w:val="20"/>
              </w:rPr>
              <w:t>Capítulo N.1.   Horngren, Charles T., Sundem, Gary L., Elliott, John A. (2000).</w:t>
            </w:r>
            <w:r w:rsidRPr="00145C2C">
              <w:rPr>
                <w:szCs w:val="20"/>
              </w:rPr>
              <w:t xml:space="preserve"> </w:t>
            </w:r>
            <w:r w:rsidRPr="00C360D8">
              <w:rPr>
                <w:szCs w:val="20"/>
              </w:rPr>
              <w:t xml:space="preserve">Introducción a la Contabilidad Financiera. México. Pearson </w:t>
            </w:r>
          </w:p>
          <w:p w:rsidR="00350F2C" w:rsidRDefault="00350F2C" w:rsidP="00C360D8">
            <w:pPr>
              <w:ind w:firstLine="0"/>
              <w:rPr>
                <w:szCs w:val="20"/>
              </w:rPr>
            </w:pPr>
          </w:p>
          <w:p w:rsidR="00C360D8" w:rsidRPr="00C360D8" w:rsidRDefault="00C360D8" w:rsidP="00C360D8">
            <w:pPr>
              <w:ind w:firstLine="0"/>
              <w:rPr>
                <w:szCs w:val="20"/>
              </w:rPr>
            </w:pPr>
            <w:r w:rsidRPr="00C360D8">
              <w:rPr>
                <w:szCs w:val="20"/>
              </w:rPr>
              <w:t>Capítulos N.1. y N.2. Guajardo, Gerardo., Andrade, Nora., (2008). Contabilidad Financiera, México: Mc Graw Hill.</w:t>
            </w:r>
          </w:p>
        </w:tc>
      </w:tr>
      <w:tr w:rsidR="00C360D8" w:rsidRPr="00C360D8" w:rsidTr="00350F2C">
        <w:tc>
          <w:tcPr>
            <w:tcW w:w="6507" w:type="dxa"/>
          </w:tcPr>
          <w:p w:rsidR="00C360D8" w:rsidRPr="00C360D8" w:rsidRDefault="00C360D8" w:rsidP="00C360D8">
            <w:pPr>
              <w:ind w:firstLine="0"/>
              <w:rPr>
                <w:b/>
                <w:szCs w:val="20"/>
              </w:rPr>
            </w:pPr>
            <w:r w:rsidRPr="00C360D8">
              <w:rPr>
                <w:b/>
                <w:szCs w:val="20"/>
              </w:rPr>
              <w:t xml:space="preserve">Semana 2: Del 19 al 24 de marzo del 2018 </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 xml:space="preserve">TEMA III: MEDICION DE LAS UTILIDADES </w:t>
            </w:r>
          </w:p>
          <w:p w:rsidR="00C360D8" w:rsidRPr="00C360D8" w:rsidRDefault="00C360D8" w:rsidP="00C360D8">
            <w:pPr>
              <w:numPr>
                <w:ilvl w:val="0"/>
                <w:numId w:val="21"/>
              </w:numPr>
              <w:contextualSpacing/>
              <w:rPr>
                <w:szCs w:val="20"/>
              </w:rPr>
            </w:pPr>
            <w:r w:rsidRPr="00C360D8">
              <w:rPr>
                <w:szCs w:val="20"/>
              </w:rPr>
              <w:t>Introducción a la medición del resultado</w:t>
            </w:r>
          </w:p>
          <w:p w:rsidR="00C360D8" w:rsidRPr="00C360D8" w:rsidRDefault="00C360D8" w:rsidP="00C360D8">
            <w:pPr>
              <w:numPr>
                <w:ilvl w:val="0"/>
                <w:numId w:val="21"/>
              </w:numPr>
              <w:contextualSpacing/>
              <w:rPr>
                <w:szCs w:val="20"/>
              </w:rPr>
            </w:pPr>
            <w:r w:rsidRPr="00C360D8">
              <w:rPr>
                <w:szCs w:val="20"/>
              </w:rPr>
              <w:t>Métodos para medir el resultado</w:t>
            </w:r>
          </w:p>
          <w:p w:rsidR="00C360D8" w:rsidRPr="00C360D8" w:rsidRDefault="00C360D8" w:rsidP="00C360D8">
            <w:pPr>
              <w:numPr>
                <w:ilvl w:val="0"/>
                <w:numId w:val="21"/>
              </w:numPr>
              <w:contextualSpacing/>
              <w:rPr>
                <w:szCs w:val="20"/>
              </w:rPr>
            </w:pPr>
            <w:r w:rsidRPr="00C360D8">
              <w:rPr>
                <w:szCs w:val="20"/>
              </w:rPr>
              <w:t>El Estado de Resultados</w:t>
            </w:r>
          </w:p>
          <w:p w:rsidR="00C360D8" w:rsidRPr="00C360D8" w:rsidRDefault="00C360D8" w:rsidP="00C360D8">
            <w:pPr>
              <w:numPr>
                <w:ilvl w:val="0"/>
                <w:numId w:val="21"/>
              </w:numPr>
              <w:contextualSpacing/>
              <w:rPr>
                <w:szCs w:val="20"/>
              </w:rPr>
            </w:pPr>
            <w:r w:rsidRPr="00C360D8">
              <w:rPr>
                <w:szCs w:val="20"/>
              </w:rPr>
              <w:t>El lenguaje contable de débitos y créditos</w:t>
            </w:r>
          </w:p>
          <w:p w:rsidR="00C360D8" w:rsidRPr="00C360D8" w:rsidRDefault="00C360D8" w:rsidP="00C360D8">
            <w:pPr>
              <w:numPr>
                <w:ilvl w:val="0"/>
                <w:numId w:val="21"/>
              </w:numPr>
              <w:contextualSpacing/>
              <w:rPr>
                <w:szCs w:val="20"/>
              </w:rPr>
            </w:pPr>
            <w:r w:rsidRPr="00C360D8">
              <w:rPr>
                <w:szCs w:val="20"/>
              </w:rPr>
              <w:t>Registro de operaciones en los diarios</w:t>
            </w:r>
          </w:p>
          <w:p w:rsidR="00C360D8" w:rsidRPr="00C360D8" w:rsidRDefault="00C360D8" w:rsidP="00C360D8">
            <w:pPr>
              <w:numPr>
                <w:ilvl w:val="0"/>
                <w:numId w:val="21"/>
              </w:numPr>
              <w:contextualSpacing/>
              <w:rPr>
                <w:szCs w:val="20"/>
              </w:rPr>
            </w:pPr>
            <w:r w:rsidRPr="00C360D8">
              <w:rPr>
                <w:szCs w:val="20"/>
              </w:rPr>
              <w:t xml:space="preserve">Razones financieras </w:t>
            </w:r>
          </w:p>
          <w:p w:rsidR="00C360D8" w:rsidRPr="00C360D8" w:rsidRDefault="00C360D8" w:rsidP="00C360D8">
            <w:pPr>
              <w:numPr>
                <w:ilvl w:val="0"/>
                <w:numId w:val="21"/>
              </w:numPr>
              <w:contextualSpacing/>
              <w:rPr>
                <w:szCs w:val="20"/>
              </w:rPr>
            </w:pPr>
            <w:r w:rsidRPr="00C360D8">
              <w:rPr>
                <w:szCs w:val="20"/>
              </w:rPr>
              <w:lastRenderedPageBreak/>
              <w:t>Flujo de la información contable</w:t>
            </w:r>
          </w:p>
          <w:p w:rsidR="00C360D8" w:rsidRPr="00C360D8" w:rsidRDefault="00C360D8" w:rsidP="00C360D8">
            <w:pPr>
              <w:ind w:firstLine="0"/>
              <w:rPr>
                <w:rFonts w:cs="Arial"/>
                <w:szCs w:val="20"/>
              </w:rPr>
            </w:pPr>
          </w:p>
        </w:tc>
        <w:tc>
          <w:tcPr>
            <w:tcW w:w="3269" w:type="dxa"/>
          </w:tcPr>
          <w:p w:rsidR="00C360D8" w:rsidRPr="00C360D8" w:rsidRDefault="00C360D8" w:rsidP="00350F2C">
            <w:pPr>
              <w:ind w:firstLine="0"/>
              <w:rPr>
                <w:rFonts w:cs="Times New Roman"/>
                <w:b/>
                <w:szCs w:val="20"/>
                <w:lang w:val="es-CR"/>
              </w:rPr>
            </w:pPr>
            <w:r w:rsidRPr="00C360D8">
              <w:rPr>
                <w:b/>
                <w:szCs w:val="20"/>
              </w:rPr>
              <w:lastRenderedPageBreak/>
              <w:t>Lecturas recomendadas</w:t>
            </w:r>
          </w:p>
          <w:p w:rsidR="00C360D8" w:rsidRPr="00C360D8" w:rsidRDefault="00C360D8" w:rsidP="00C360D8">
            <w:pPr>
              <w:ind w:firstLine="0"/>
              <w:rPr>
                <w:szCs w:val="20"/>
              </w:rPr>
            </w:pPr>
            <w:r w:rsidRPr="00C360D8">
              <w:rPr>
                <w:szCs w:val="20"/>
              </w:rPr>
              <w:t>Capítulo N.2. Horngren, Charles T., Sundem, Gary L., Elliott, John A. (2000).</w:t>
            </w:r>
            <w:r w:rsidRPr="00145C2C">
              <w:rPr>
                <w:szCs w:val="20"/>
              </w:rPr>
              <w:t xml:space="preserve"> </w:t>
            </w:r>
            <w:r w:rsidRPr="00C360D8">
              <w:rPr>
                <w:szCs w:val="20"/>
              </w:rPr>
              <w:t>Introducción a la Contabilidad Financiera. México. Pearson</w:t>
            </w:r>
          </w:p>
          <w:p w:rsidR="00C360D8" w:rsidRPr="00C360D8" w:rsidRDefault="00C360D8" w:rsidP="00C360D8">
            <w:pPr>
              <w:ind w:firstLine="0"/>
              <w:rPr>
                <w:szCs w:val="20"/>
              </w:rPr>
            </w:pPr>
            <w:r w:rsidRPr="00C360D8">
              <w:rPr>
                <w:szCs w:val="20"/>
              </w:rPr>
              <w:t xml:space="preserve">Capítulo N.3. Guajardo, </w:t>
            </w:r>
            <w:r w:rsidRPr="00C360D8">
              <w:rPr>
                <w:szCs w:val="20"/>
              </w:rPr>
              <w:lastRenderedPageBreak/>
              <w:t>Gerardo., Andrade, Nora., (2008). Contabilidad Financiera, México: Mc Graw Hill.</w:t>
            </w:r>
          </w:p>
        </w:tc>
      </w:tr>
      <w:tr w:rsidR="00C360D8" w:rsidRPr="00C360D8" w:rsidTr="00350F2C">
        <w:tc>
          <w:tcPr>
            <w:tcW w:w="6507" w:type="dxa"/>
          </w:tcPr>
          <w:p w:rsidR="00C360D8" w:rsidRPr="00C360D8" w:rsidRDefault="00C360D8" w:rsidP="00C360D8">
            <w:pPr>
              <w:ind w:firstLine="0"/>
              <w:rPr>
                <w:b/>
                <w:szCs w:val="20"/>
              </w:rPr>
            </w:pPr>
            <w:r w:rsidRPr="00145C2C">
              <w:rPr>
                <w:b/>
                <w:szCs w:val="20"/>
              </w:rPr>
              <w:lastRenderedPageBreak/>
              <w:t>Semana 3</w:t>
            </w:r>
            <w:r w:rsidRPr="00C360D8">
              <w:rPr>
                <w:b/>
                <w:szCs w:val="20"/>
              </w:rPr>
              <w:t>: Del 26 al 31 de marzo del 2018</w:t>
            </w:r>
          </w:p>
          <w:p w:rsidR="00C360D8" w:rsidRPr="00C360D8" w:rsidRDefault="00C360D8" w:rsidP="00C360D8">
            <w:pPr>
              <w:ind w:firstLine="0"/>
              <w:rPr>
                <w:b/>
                <w:szCs w:val="20"/>
              </w:rPr>
            </w:pPr>
          </w:p>
          <w:p w:rsidR="00C360D8" w:rsidRPr="00C360D8" w:rsidRDefault="00C360D8" w:rsidP="00C360D8">
            <w:pPr>
              <w:ind w:firstLine="0"/>
              <w:rPr>
                <w:b/>
                <w:szCs w:val="20"/>
              </w:rPr>
            </w:pPr>
            <w:r w:rsidRPr="00C360D8">
              <w:rPr>
                <w:b/>
                <w:szCs w:val="20"/>
              </w:rPr>
              <w:t>Semana Santa</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145C2C" w:rsidRDefault="00C360D8" w:rsidP="00C360D8">
            <w:pPr>
              <w:ind w:firstLine="0"/>
              <w:rPr>
                <w:b/>
                <w:szCs w:val="20"/>
              </w:rPr>
            </w:pPr>
            <w:r w:rsidRPr="00145C2C">
              <w:rPr>
                <w:b/>
                <w:szCs w:val="20"/>
              </w:rPr>
              <w:t>Semana 4</w:t>
            </w:r>
            <w:r w:rsidRPr="00C360D8">
              <w:rPr>
                <w:szCs w:val="20"/>
              </w:rPr>
              <w:t xml:space="preserve">: </w:t>
            </w:r>
            <w:r w:rsidRPr="00C360D8">
              <w:rPr>
                <w:b/>
                <w:szCs w:val="20"/>
              </w:rPr>
              <w:t>Del 02 al 07 de abril del 2018</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TEMA IV: REGISTRO DE TRANSACCIONES</w:t>
            </w:r>
          </w:p>
          <w:p w:rsidR="00C360D8" w:rsidRPr="00C360D8" w:rsidRDefault="00C360D8" w:rsidP="00C360D8">
            <w:pPr>
              <w:numPr>
                <w:ilvl w:val="0"/>
                <w:numId w:val="22"/>
              </w:numPr>
              <w:contextualSpacing/>
              <w:rPr>
                <w:szCs w:val="20"/>
              </w:rPr>
            </w:pPr>
            <w:r w:rsidRPr="00C360D8">
              <w:rPr>
                <w:szCs w:val="20"/>
              </w:rPr>
              <w:t>Sistema de contabilidad por partida doble</w:t>
            </w:r>
          </w:p>
          <w:p w:rsidR="00C360D8" w:rsidRPr="00C360D8" w:rsidRDefault="00C360D8" w:rsidP="00C360D8">
            <w:pPr>
              <w:numPr>
                <w:ilvl w:val="0"/>
                <w:numId w:val="22"/>
              </w:numPr>
              <w:contextualSpacing/>
              <w:rPr>
                <w:szCs w:val="20"/>
              </w:rPr>
            </w:pPr>
            <w:r w:rsidRPr="00C360D8">
              <w:rPr>
                <w:szCs w:val="20"/>
              </w:rPr>
              <w:t>El lenguaje de débito-crédito</w:t>
            </w:r>
          </w:p>
          <w:p w:rsidR="00C360D8" w:rsidRPr="00C360D8" w:rsidRDefault="00C360D8" w:rsidP="00C360D8">
            <w:pPr>
              <w:numPr>
                <w:ilvl w:val="0"/>
                <w:numId w:val="22"/>
              </w:numPr>
              <w:contextualSpacing/>
              <w:rPr>
                <w:szCs w:val="20"/>
              </w:rPr>
            </w:pPr>
            <w:r w:rsidRPr="00C360D8">
              <w:rPr>
                <w:szCs w:val="20"/>
              </w:rPr>
              <w:t>Registro de transacciones: diarios y mayores</w:t>
            </w:r>
          </w:p>
          <w:p w:rsidR="00C360D8" w:rsidRPr="00C360D8" w:rsidRDefault="00C360D8" w:rsidP="00C360D8">
            <w:pPr>
              <w:numPr>
                <w:ilvl w:val="0"/>
                <w:numId w:val="22"/>
              </w:numPr>
              <w:contextualSpacing/>
              <w:rPr>
                <w:szCs w:val="20"/>
              </w:rPr>
            </w:pPr>
            <w:r w:rsidRPr="00C360D8">
              <w:rPr>
                <w:szCs w:val="20"/>
              </w:rPr>
              <w:t xml:space="preserve">Análisis y registro de transacciones en el diario y el mayor </w:t>
            </w:r>
          </w:p>
          <w:p w:rsidR="00C360D8" w:rsidRPr="00C360D8" w:rsidRDefault="00C360D8" w:rsidP="00C360D8">
            <w:pPr>
              <w:numPr>
                <w:ilvl w:val="0"/>
                <w:numId w:val="22"/>
              </w:numPr>
              <w:contextualSpacing/>
              <w:rPr>
                <w:szCs w:val="20"/>
                <w:lang w:val="es-ES_tradnl"/>
              </w:rPr>
            </w:pPr>
            <w:r w:rsidRPr="00C360D8">
              <w:rPr>
                <w:szCs w:val="20"/>
              </w:rPr>
              <w:t xml:space="preserve">Preparación de la balanza </w:t>
            </w:r>
            <w:r w:rsidRPr="00C360D8">
              <w:rPr>
                <w:szCs w:val="20"/>
                <w:lang w:val="es-ES_tradnl"/>
              </w:rPr>
              <w:t>de comprobación</w:t>
            </w:r>
          </w:p>
          <w:p w:rsidR="00C360D8" w:rsidRPr="00C360D8" w:rsidRDefault="00C360D8" w:rsidP="00C360D8">
            <w:pPr>
              <w:ind w:firstLine="0"/>
              <w:rPr>
                <w:rFonts w:cs="Arial"/>
                <w:b/>
                <w:szCs w:val="20"/>
              </w:rPr>
            </w:pPr>
          </w:p>
        </w:tc>
        <w:tc>
          <w:tcPr>
            <w:tcW w:w="3269" w:type="dxa"/>
          </w:tcPr>
          <w:p w:rsidR="00C360D8" w:rsidRPr="00C360D8" w:rsidRDefault="00C360D8" w:rsidP="00C360D8">
            <w:pPr>
              <w:rPr>
                <w:rFonts w:cs="Times New Roman"/>
                <w:b/>
                <w:szCs w:val="20"/>
                <w:lang w:val="es-CR"/>
              </w:rPr>
            </w:pPr>
            <w:r w:rsidRPr="00C360D8">
              <w:rPr>
                <w:b/>
                <w:szCs w:val="20"/>
              </w:rPr>
              <w:t>Lecturas recomendadas</w:t>
            </w:r>
          </w:p>
          <w:p w:rsidR="00C360D8" w:rsidRPr="00C360D8" w:rsidRDefault="00C360D8" w:rsidP="00C360D8">
            <w:pPr>
              <w:ind w:firstLine="0"/>
              <w:rPr>
                <w:szCs w:val="20"/>
              </w:rPr>
            </w:pPr>
            <w:r w:rsidRPr="00C360D8">
              <w:rPr>
                <w:szCs w:val="20"/>
              </w:rPr>
              <w:t>Capítulo N.3. Horngren, Charles T., Sundem, Gary L., Elliott, John A. (2000).</w:t>
            </w:r>
            <w:r w:rsidRPr="00145C2C">
              <w:rPr>
                <w:szCs w:val="20"/>
              </w:rPr>
              <w:t xml:space="preserve"> </w:t>
            </w:r>
            <w:r w:rsidRPr="00C360D8">
              <w:rPr>
                <w:szCs w:val="20"/>
              </w:rPr>
              <w:t>Introducción a la Contabilidad Financiera. México. Pearson.</w:t>
            </w:r>
          </w:p>
          <w:p w:rsidR="00C360D8" w:rsidRPr="00C360D8" w:rsidRDefault="00C360D8" w:rsidP="00C360D8">
            <w:pPr>
              <w:ind w:firstLine="0"/>
              <w:rPr>
                <w:rFonts w:cs="Times New Roman"/>
                <w:szCs w:val="20"/>
                <w:lang w:val="es-CR"/>
              </w:rPr>
            </w:pPr>
            <w:r w:rsidRPr="00C360D8">
              <w:rPr>
                <w:szCs w:val="20"/>
              </w:rPr>
              <w:t>Capítulo N.3. Guajardo, Gerardo., Andrade, Nora., (2008). Contabilidad Financiera, México: Mc Graw Hill.</w:t>
            </w:r>
          </w:p>
        </w:tc>
      </w:tr>
      <w:tr w:rsidR="00C360D8" w:rsidRPr="00C360D8" w:rsidTr="00350F2C">
        <w:tc>
          <w:tcPr>
            <w:tcW w:w="6507" w:type="dxa"/>
          </w:tcPr>
          <w:p w:rsidR="00C360D8" w:rsidRPr="00C360D8" w:rsidRDefault="00C360D8" w:rsidP="00C360D8">
            <w:pPr>
              <w:ind w:firstLine="0"/>
              <w:rPr>
                <w:b/>
                <w:szCs w:val="20"/>
                <w:lang w:val="es-ES_tradnl"/>
              </w:rPr>
            </w:pPr>
            <w:r w:rsidRPr="00C360D8">
              <w:rPr>
                <w:b/>
                <w:szCs w:val="20"/>
                <w:lang w:val="es-ES_tradnl"/>
              </w:rPr>
              <w:t>Semana 5   Del 09 al 14 de abril del 2018</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TEMA V: CICLO CONTABLE, AJUSTES Y ELABORACION DE ESTADOS FINANCIEROS</w:t>
            </w:r>
          </w:p>
          <w:p w:rsidR="00C360D8" w:rsidRPr="00C360D8" w:rsidRDefault="00C360D8" w:rsidP="00C360D8">
            <w:pPr>
              <w:numPr>
                <w:ilvl w:val="0"/>
                <w:numId w:val="18"/>
              </w:numPr>
              <w:jc w:val="left"/>
              <w:rPr>
                <w:szCs w:val="20"/>
                <w:lang w:val="es-ES_tradnl"/>
              </w:rPr>
            </w:pPr>
            <w:r w:rsidRPr="00C360D8">
              <w:rPr>
                <w:szCs w:val="20"/>
                <w:lang w:val="es-ES_tradnl"/>
              </w:rPr>
              <w:t>Ajustes a las cuentas</w:t>
            </w:r>
          </w:p>
          <w:p w:rsidR="00C360D8" w:rsidRPr="00C360D8" w:rsidRDefault="00C360D8" w:rsidP="00C360D8">
            <w:pPr>
              <w:numPr>
                <w:ilvl w:val="0"/>
                <w:numId w:val="18"/>
              </w:numPr>
              <w:jc w:val="left"/>
              <w:rPr>
                <w:szCs w:val="20"/>
                <w:lang w:val="es-ES_tradnl"/>
              </w:rPr>
            </w:pPr>
            <w:r w:rsidRPr="00C360D8">
              <w:rPr>
                <w:szCs w:val="20"/>
                <w:lang w:val="es-ES_tradnl"/>
              </w:rPr>
              <w:t>Clasificación de los estados financieros</w:t>
            </w:r>
          </w:p>
          <w:p w:rsidR="00C360D8" w:rsidRPr="00C360D8" w:rsidRDefault="00C360D8" w:rsidP="00C360D8">
            <w:pPr>
              <w:numPr>
                <w:ilvl w:val="0"/>
                <w:numId w:val="18"/>
              </w:numPr>
              <w:jc w:val="left"/>
              <w:rPr>
                <w:szCs w:val="20"/>
                <w:lang w:val="es-ES_tradnl"/>
              </w:rPr>
            </w:pPr>
            <w:r w:rsidRPr="00C360D8">
              <w:rPr>
                <w:szCs w:val="20"/>
                <w:lang w:val="es-ES_tradnl"/>
              </w:rPr>
              <w:t>Formato de los balances generales</w:t>
            </w:r>
          </w:p>
          <w:p w:rsidR="00C360D8" w:rsidRPr="00C360D8" w:rsidRDefault="00C360D8" w:rsidP="00C360D8">
            <w:pPr>
              <w:numPr>
                <w:ilvl w:val="0"/>
                <w:numId w:val="18"/>
              </w:numPr>
              <w:jc w:val="left"/>
              <w:rPr>
                <w:szCs w:val="20"/>
                <w:lang w:val="es-ES_tradnl"/>
              </w:rPr>
            </w:pPr>
            <w:r w:rsidRPr="00C360D8">
              <w:rPr>
                <w:szCs w:val="20"/>
                <w:lang w:val="es-ES_tradnl"/>
              </w:rPr>
              <w:t>Estado de resultados</w:t>
            </w:r>
          </w:p>
          <w:p w:rsidR="00C360D8" w:rsidRPr="00C360D8" w:rsidRDefault="00C360D8" w:rsidP="00C360D8">
            <w:pPr>
              <w:numPr>
                <w:ilvl w:val="0"/>
                <w:numId w:val="18"/>
              </w:numPr>
              <w:jc w:val="left"/>
              <w:rPr>
                <w:szCs w:val="20"/>
                <w:lang w:val="es-ES_tradnl"/>
              </w:rPr>
            </w:pPr>
            <w:r w:rsidRPr="00C360D8">
              <w:rPr>
                <w:szCs w:val="20"/>
                <w:lang w:val="es-ES_tradnl"/>
              </w:rPr>
              <w:t>El ciclo contable</w:t>
            </w:r>
          </w:p>
          <w:p w:rsidR="00C360D8" w:rsidRPr="00C360D8" w:rsidRDefault="00C360D8" w:rsidP="00C360D8">
            <w:pPr>
              <w:numPr>
                <w:ilvl w:val="0"/>
                <w:numId w:val="18"/>
              </w:numPr>
              <w:jc w:val="left"/>
              <w:rPr>
                <w:szCs w:val="20"/>
                <w:lang w:val="es-ES_tradnl"/>
              </w:rPr>
            </w:pPr>
            <w:r w:rsidRPr="00C360D8">
              <w:rPr>
                <w:szCs w:val="20"/>
                <w:lang w:val="es-ES_tradnl"/>
              </w:rPr>
              <w:t>Cómo se cierran las cuentas</w:t>
            </w:r>
          </w:p>
          <w:p w:rsidR="00C360D8" w:rsidRPr="00C360D8" w:rsidRDefault="00C360D8" w:rsidP="00C360D8">
            <w:pPr>
              <w:numPr>
                <w:ilvl w:val="0"/>
                <w:numId w:val="18"/>
              </w:numPr>
              <w:jc w:val="left"/>
              <w:rPr>
                <w:szCs w:val="20"/>
                <w:lang w:val="es-ES_tradnl"/>
              </w:rPr>
            </w:pPr>
            <w:r w:rsidRPr="00C360D8">
              <w:rPr>
                <w:szCs w:val="20"/>
                <w:lang w:val="es-ES_tradnl"/>
              </w:rPr>
              <w:t>Efectos de los errores y registros incompletos</w:t>
            </w:r>
          </w:p>
          <w:p w:rsidR="00C360D8" w:rsidRPr="00C360D8" w:rsidRDefault="00C360D8" w:rsidP="00C360D8">
            <w:pPr>
              <w:ind w:firstLine="0"/>
              <w:rPr>
                <w:rFonts w:cs="Arial"/>
                <w:szCs w:val="20"/>
              </w:rPr>
            </w:pPr>
          </w:p>
        </w:tc>
        <w:tc>
          <w:tcPr>
            <w:tcW w:w="3269" w:type="dxa"/>
          </w:tcPr>
          <w:p w:rsidR="00C360D8" w:rsidRPr="00C360D8" w:rsidRDefault="00C360D8" w:rsidP="00350F2C">
            <w:pPr>
              <w:ind w:firstLine="0"/>
              <w:jc w:val="center"/>
              <w:rPr>
                <w:rFonts w:cs="Times New Roman"/>
                <w:b/>
                <w:szCs w:val="20"/>
                <w:lang w:val="es-CR"/>
              </w:rPr>
            </w:pPr>
            <w:r w:rsidRPr="00C360D8">
              <w:rPr>
                <w:b/>
                <w:szCs w:val="20"/>
              </w:rPr>
              <w:t>Lecturas recomendadas</w:t>
            </w:r>
          </w:p>
          <w:p w:rsidR="00C360D8" w:rsidRPr="00C360D8" w:rsidRDefault="00C360D8" w:rsidP="00C360D8">
            <w:pPr>
              <w:ind w:firstLine="0"/>
              <w:rPr>
                <w:szCs w:val="20"/>
              </w:rPr>
            </w:pPr>
            <w:r w:rsidRPr="00C360D8">
              <w:rPr>
                <w:szCs w:val="20"/>
              </w:rPr>
              <w:t>Capítulo N.4. Horngren, Charles T., Sundem, Gary L., Elliott, John A. (2000).</w:t>
            </w:r>
            <w:r w:rsidRPr="00145C2C">
              <w:rPr>
                <w:szCs w:val="20"/>
              </w:rPr>
              <w:t xml:space="preserve"> </w:t>
            </w:r>
            <w:r w:rsidRPr="00C360D8">
              <w:rPr>
                <w:szCs w:val="20"/>
              </w:rPr>
              <w:t>Introducción a la Contabilidad Financiera. México. Pearson.</w:t>
            </w:r>
          </w:p>
          <w:p w:rsidR="00350F2C" w:rsidRDefault="00350F2C" w:rsidP="00C360D8">
            <w:pPr>
              <w:ind w:firstLine="0"/>
              <w:rPr>
                <w:szCs w:val="20"/>
              </w:rPr>
            </w:pPr>
          </w:p>
          <w:p w:rsidR="00C360D8" w:rsidRPr="00C360D8" w:rsidRDefault="00C360D8" w:rsidP="00C360D8">
            <w:pPr>
              <w:ind w:firstLine="0"/>
              <w:rPr>
                <w:szCs w:val="20"/>
              </w:rPr>
            </w:pPr>
            <w:r w:rsidRPr="00C360D8">
              <w:rPr>
                <w:szCs w:val="20"/>
              </w:rPr>
              <w:t>Capítulo N.4. Guajardo, Gerardo., Andrade, Nora., (2008). Contabilidad Financiera, México: Mc Graw Hill.</w:t>
            </w:r>
          </w:p>
          <w:p w:rsidR="00C360D8" w:rsidRPr="00C360D8" w:rsidRDefault="00C360D8" w:rsidP="00C360D8">
            <w:pPr>
              <w:ind w:left="720" w:firstLine="0"/>
              <w:contextualSpacing/>
              <w:rPr>
                <w:szCs w:val="20"/>
              </w:rPr>
            </w:pPr>
          </w:p>
        </w:tc>
      </w:tr>
      <w:tr w:rsidR="00C360D8" w:rsidRPr="00C360D8" w:rsidTr="00350F2C">
        <w:tc>
          <w:tcPr>
            <w:tcW w:w="6507" w:type="dxa"/>
          </w:tcPr>
          <w:p w:rsidR="00C360D8" w:rsidRPr="00C360D8" w:rsidRDefault="00C360D8" w:rsidP="00C360D8">
            <w:pPr>
              <w:ind w:firstLine="0"/>
              <w:rPr>
                <w:b/>
                <w:szCs w:val="20"/>
              </w:rPr>
            </w:pPr>
            <w:r w:rsidRPr="00145C2C">
              <w:rPr>
                <w:b/>
                <w:szCs w:val="20"/>
              </w:rPr>
              <w:t>Semana 6</w:t>
            </w:r>
            <w:r w:rsidRPr="00C360D8">
              <w:rPr>
                <w:b/>
                <w:szCs w:val="20"/>
              </w:rPr>
              <w:t>: Del 16 al 21 de abril del 2018</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TEMA VI: VALUACION DE INVENTARIOS, COSTO DE ARTICULOS Y UTILIDAD BRUTA</w:t>
            </w:r>
          </w:p>
          <w:p w:rsidR="00C360D8" w:rsidRPr="00C360D8" w:rsidRDefault="00C360D8" w:rsidP="00C360D8">
            <w:pPr>
              <w:numPr>
                <w:ilvl w:val="0"/>
                <w:numId w:val="23"/>
              </w:numPr>
              <w:jc w:val="left"/>
              <w:rPr>
                <w:szCs w:val="20"/>
                <w:lang w:val="es-ES_tradnl"/>
              </w:rPr>
            </w:pPr>
            <w:r w:rsidRPr="00C360D8">
              <w:rPr>
                <w:szCs w:val="20"/>
                <w:lang w:val="es-ES_tradnl"/>
              </w:rPr>
              <w:t>Sistemas perpetuos y periódicos de inventario</w:t>
            </w:r>
          </w:p>
          <w:p w:rsidR="00C360D8" w:rsidRPr="00C360D8" w:rsidRDefault="00C360D8" w:rsidP="00C360D8">
            <w:pPr>
              <w:numPr>
                <w:ilvl w:val="0"/>
                <w:numId w:val="23"/>
              </w:numPr>
              <w:jc w:val="left"/>
              <w:rPr>
                <w:szCs w:val="20"/>
                <w:lang w:val="es-ES_tradnl"/>
              </w:rPr>
            </w:pPr>
            <w:r w:rsidRPr="00C360D8">
              <w:rPr>
                <w:szCs w:val="20"/>
                <w:lang w:val="es-ES_tradnl"/>
              </w:rPr>
              <w:t>Utilidad bruta y el costo de los artículos vendidos</w:t>
            </w:r>
          </w:p>
          <w:p w:rsidR="00C360D8" w:rsidRPr="00C360D8" w:rsidRDefault="00C360D8" w:rsidP="00C360D8">
            <w:pPr>
              <w:numPr>
                <w:ilvl w:val="0"/>
                <w:numId w:val="23"/>
              </w:numPr>
              <w:jc w:val="left"/>
              <w:rPr>
                <w:szCs w:val="20"/>
                <w:lang w:val="es-ES_tradnl"/>
              </w:rPr>
            </w:pPr>
            <w:r w:rsidRPr="00C360D8">
              <w:rPr>
                <w:szCs w:val="20"/>
                <w:lang w:val="es-ES_tradnl"/>
              </w:rPr>
              <w:t>Costo de la mercadería adquirida</w:t>
            </w:r>
          </w:p>
          <w:p w:rsidR="00C360D8" w:rsidRPr="00C360D8" w:rsidRDefault="00C360D8" w:rsidP="00C360D8">
            <w:pPr>
              <w:numPr>
                <w:ilvl w:val="0"/>
                <w:numId w:val="23"/>
              </w:numPr>
              <w:jc w:val="left"/>
              <w:rPr>
                <w:szCs w:val="20"/>
                <w:lang w:val="es-ES_tradnl"/>
              </w:rPr>
            </w:pPr>
            <w:r w:rsidRPr="00C360D8">
              <w:rPr>
                <w:szCs w:val="20"/>
                <w:lang w:val="es-ES_tradnl"/>
              </w:rPr>
              <w:t>Métodos principales para la valuación de inventarios</w:t>
            </w:r>
          </w:p>
          <w:p w:rsidR="00C360D8" w:rsidRPr="00C360D8" w:rsidRDefault="00C360D8" w:rsidP="00C360D8">
            <w:pPr>
              <w:numPr>
                <w:ilvl w:val="0"/>
                <w:numId w:val="23"/>
              </w:numPr>
              <w:jc w:val="left"/>
              <w:rPr>
                <w:szCs w:val="20"/>
                <w:lang w:val="es-ES_tradnl"/>
              </w:rPr>
            </w:pPr>
            <w:r w:rsidRPr="00C360D8">
              <w:rPr>
                <w:szCs w:val="20"/>
                <w:lang w:val="es-ES_tradnl"/>
              </w:rPr>
              <w:t>Cómo escoger y utilizar métodos de inventarios</w:t>
            </w:r>
          </w:p>
          <w:p w:rsidR="00C360D8" w:rsidRPr="00C360D8" w:rsidRDefault="00C360D8" w:rsidP="00C360D8">
            <w:pPr>
              <w:numPr>
                <w:ilvl w:val="0"/>
                <w:numId w:val="23"/>
              </w:numPr>
              <w:jc w:val="left"/>
              <w:rPr>
                <w:szCs w:val="20"/>
                <w:lang w:val="es-ES_tradnl"/>
              </w:rPr>
            </w:pPr>
            <w:r w:rsidRPr="00C360D8">
              <w:rPr>
                <w:szCs w:val="20"/>
                <w:lang w:val="es-ES_tradnl"/>
              </w:rPr>
              <w:t>Método de costo más bajo o de mercado</w:t>
            </w:r>
          </w:p>
          <w:p w:rsidR="00C360D8" w:rsidRPr="00C360D8" w:rsidRDefault="00C360D8" w:rsidP="00C360D8">
            <w:pPr>
              <w:numPr>
                <w:ilvl w:val="0"/>
                <w:numId w:val="23"/>
              </w:numPr>
              <w:jc w:val="left"/>
              <w:rPr>
                <w:szCs w:val="20"/>
                <w:lang w:val="es-ES_tradnl"/>
              </w:rPr>
            </w:pPr>
            <w:r w:rsidRPr="00C360D8">
              <w:rPr>
                <w:szCs w:val="20"/>
                <w:lang w:val="es-ES_tradnl"/>
              </w:rPr>
              <w:t>Inventario en un ambiente de manufactura</w:t>
            </w:r>
          </w:p>
          <w:p w:rsidR="00C360D8" w:rsidRPr="00C360D8" w:rsidRDefault="00C360D8" w:rsidP="00C360D8">
            <w:pPr>
              <w:numPr>
                <w:ilvl w:val="0"/>
                <w:numId w:val="23"/>
              </w:numPr>
              <w:jc w:val="left"/>
              <w:rPr>
                <w:szCs w:val="20"/>
                <w:lang w:val="es-ES_tradnl"/>
              </w:rPr>
            </w:pPr>
            <w:r w:rsidRPr="00C360D8">
              <w:rPr>
                <w:szCs w:val="20"/>
                <w:lang w:val="es-ES_tradnl"/>
              </w:rPr>
              <w:t>Entendimiento de la diferencia entre costo de fabricación y costo de mercadería vendida</w:t>
            </w:r>
          </w:p>
          <w:p w:rsidR="00C360D8" w:rsidRPr="00145C2C" w:rsidRDefault="00C360D8" w:rsidP="00C360D8">
            <w:pPr>
              <w:outlineLvl w:val="0"/>
              <w:rPr>
                <w:b/>
                <w:szCs w:val="20"/>
              </w:rPr>
            </w:pPr>
          </w:p>
        </w:tc>
        <w:tc>
          <w:tcPr>
            <w:tcW w:w="3269" w:type="dxa"/>
          </w:tcPr>
          <w:p w:rsidR="00C360D8" w:rsidRPr="00C360D8" w:rsidRDefault="00C360D8" w:rsidP="00350F2C">
            <w:pPr>
              <w:ind w:firstLine="0"/>
              <w:jc w:val="center"/>
              <w:rPr>
                <w:rFonts w:cs="Times New Roman"/>
                <w:b/>
                <w:szCs w:val="20"/>
                <w:lang w:val="es-CR"/>
              </w:rPr>
            </w:pPr>
            <w:r w:rsidRPr="00C360D8">
              <w:rPr>
                <w:b/>
                <w:szCs w:val="20"/>
              </w:rPr>
              <w:t>Lectura recomendada:</w:t>
            </w:r>
          </w:p>
          <w:p w:rsidR="00C360D8" w:rsidRPr="00C360D8" w:rsidRDefault="00C360D8" w:rsidP="00C360D8">
            <w:pPr>
              <w:ind w:firstLine="0"/>
              <w:rPr>
                <w:szCs w:val="20"/>
              </w:rPr>
            </w:pPr>
            <w:r w:rsidRPr="00C360D8">
              <w:rPr>
                <w:szCs w:val="20"/>
              </w:rPr>
              <w:t>Capítulo N.6.</w:t>
            </w:r>
            <w:r w:rsidRPr="00C360D8">
              <w:rPr>
                <w:szCs w:val="20"/>
              </w:rPr>
              <w:tab/>
              <w:t>Horngren, Charles T., Sundem, Gary L., Elliott, John A. (2000).</w:t>
            </w:r>
            <w:r w:rsidRPr="00145C2C">
              <w:rPr>
                <w:szCs w:val="20"/>
              </w:rPr>
              <w:t xml:space="preserve"> </w:t>
            </w:r>
            <w:r w:rsidRPr="00C360D8">
              <w:rPr>
                <w:szCs w:val="20"/>
              </w:rPr>
              <w:t>Introducción a la Contabilidad Financiera. México. Pearson</w:t>
            </w:r>
          </w:p>
          <w:p w:rsidR="00350F2C" w:rsidRDefault="00350F2C" w:rsidP="00C360D8">
            <w:pPr>
              <w:ind w:firstLine="0"/>
              <w:rPr>
                <w:szCs w:val="20"/>
              </w:rPr>
            </w:pPr>
          </w:p>
          <w:p w:rsidR="00C360D8" w:rsidRPr="00C360D8" w:rsidRDefault="00C360D8" w:rsidP="00C360D8">
            <w:pPr>
              <w:ind w:firstLine="0"/>
              <w:rPr>
                <w:szCs w:val="20"/>
              </w:rPr>
            </w:pPr>
            <w:r w:rsidRPr="00C360D8">
              <w:rPr>
                <w:szCs w:val="20"/>
              </w:rPr>
              <w:t>Capítulo N.9. Guajardo, Gerardo., Andrade, Nora., (2008). Contabilidad Financiera, México: Mc Graw Hill.</w:t>
            </w:r>
          </w:p>
        </w:tc>
      </w:tr>
      <w:tr w:rsidR="00C360D8" w:rsidRPr="00C360D8" w:rsidTr="00350F2C">
        <w:tc>
          <w:tcPr>
            <w:tcW w:w="6507" w:type="dxa"/>
          </w:tcPr>
          <w:p w:rsidR="00C360D8" w:rsidRPr="00C360D8" w:rsidRDefault="00C360D8" w:rsidP="00C360D8">
            <w:pPr>
              <w:ind w:firstLine="0"/>
              <w:rPr>
                <w:b/>
                <w:szCs w:val="20"/>
              </w:rPr>
            </w:pPr>
            <w:r w:rsidRPr="00145C2C">
              <w:rPr>
                <w:b/>
                <w:szCs w:val="20"/>
              </w:rPr>
              <w:t>Semana 7</w:t>
            </w:r>
            <w:r w:rsidRPr="00C360D8">
              <w:rPr>
                <w:b/>
                <w:szCs w:val="20"/>
              </w:rPr>
              <w:t>: Del 23 al 28 de abril del 2018</w:t>
            </w:r>
          </w:p>
        </w:tc>
        <w:tc>
          <w:tcPr>
            <w:tcW w:w="3269" w:type="dxa"/>
          </w:tcPr>
          <w:p w:rsidR="00C360D8" w:rsidRPr="00C360D8" w:rsidRDefault="00C360D8" w:rsidP="00C360D8">
            <w:pPr>
              <w:ind w:firstLine="0"/>
              <w:rPr>
                <w:b/>
                <w:szCs w:val="20"/>
              </w:rPr>
            </w:pPr>
            <w:r w:rsidRPr="00C360D8">
              <w:rPr>
                <w:b/>
                <w:szCs w:val="20"/>
              </w:rPr>
              <w:t>SEMANA UNIVERSITARIA</w:t>
            </w: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TEMA VII: ACTIVOS A LARGO PLAZO Y DEPRECIACION</w:t>
            </w:r>
          </w:p>
          <w:p w:rsidR="00C360D8" w:rsidRPr="00C360D8" w:rsidRDefault="00C360D8" w:rsidP="00C360D8">
            <w:pPr>
              <w:numPr>
                <w:ilvl w:val="0"/>
                <w:numId w:val="24"/>
              </w:numPr>
              <w:jc w:val="left"/>
              <w:rPr>
                <w:szCs w:val="20"/>
                <w:lang w:val="es-ES_tradnl"/>
              </w:rPr>
            </w:pPr>
            <w:r w:rsidRPr="00C360D8">
              <w:rPr>
                <w:szCs w:val="20"/>
                <w:lang w:val="es-ES_tradnl"/>
              </w:rPr>
              <w:t>Costo de adquisición de activos a largo plazo</w:t>
            </w:r>
          </w:p>
          <w:p w:rsidR="00C360D8" w:rsidRPr="00C360D8" w:rsidRDefault="00C360D8" w:rsidP="00C360D8">
            <w:pPr>
              <w:numPr>
                <w:ilvl w:val="0"/>
                <w:numId w:val="24"/>
              </w:numPr>
              <w:jc w:val="left"/>
              <w:rPr>
                <w:szCs w:val="20"/>
                <w:lang w:val="es-ES_tradnl"/>
              </w:rPr>
            </w:pPr>
            <w:r w:rsidRPr="00C360D8">
              <w:rPr>
                <w:szCs w:val="20"/>
                <w:lang w:val="es-ES_tradnl"/>
              </w:rPr>
              <w:t>Métodos de depreciación</w:t>
            </w:r>
          </w:p>
          <w:p w:rsidR="00C360D8" w:rsidRPr="00C360D8" w:rsidRDefault="00C360D8" w:rsidP="00C360D8">
            <w:pPr>
              <w:numPr>
                <w:ilvl w:val="0"/>
                <w:numId w:val="24"/>
              </w:numPr>
              <w:jc w:val="left"/>
              <w:rPr>
                <w:szCs w:val="20"/>
                <w:lang w:val="es-ES_tradnl"/>
              </w:rPr>
            </w:pPr>
            <w:r w:rsidRPr="00C360D8">
              <w:rPr>
                <w:szCs w:val="20"/>
                <w:lang w:val="es-ES_tradnl"/>
              </w:rPr>
              <w:t>Depreciación y flujo de efectivo</w:t>
            </w:r>
          </w:p>
          <w:p w:rsidR="00C360D8" w:rsidRPr="00C360D8" w:rsidRDefault="00C360D8" w:rsidP="00C360D8">
            <w:pPr>
              <w:numPr>
                <w:ilvl w:val="0"/>
                <w:numId w:val="24"/>
              </w:numPr>
              <w:jc w:val="left"/>
              <w:rPr>
                <w:szCs w:val="20"/>
                <w:lang w:val="es-ES_tradnl"/>
              </w:rPr>
            </w:pPr>
            <w:r w:rsidRPr="00C360D8">
              <w:rPr>
                <w:szCs w:val="20"/>
                <w:lang w:val="es-ES_tradnl"/>
              </w:rPr>
              <w:t>Ganancias o pérdidas por la venta de activos fijos</w:t>
            </w:r>
          </w:p>
          <w:p w:rsidR="00C360D8" w:rsidRPr="00C360D8" w:rsidRDefault="00C360D8" w:rsidP="00C360D8">
            <w:pPr>
              <w:numPr>
                <w:ilvl w:val="0"/>
                <w:numId w:val="24"/>
              </w:numPr>
              <w:jc w:val="left"/>
              <w:rPr>
                <w:szCs w:val="20"/>
                <w:lang w:val="es-ES_tradnl"/>
              </w:rPr>
            </w:pPr>
            <w:r w:rsidRPr="00C360D8">
              <w:rPr>
                <w:szCs w:val="20"/>
                <w:lang w:val="es-ES_tradnl"/>
              </w:rPr>
              <w:lastRenderedPageBreak/>
              <w:t>Agotamiento de recursos naturales</w:t>
            </w:r>
          </w:p>
          <w:p w:rsidR="00C360D8" w:rsidRPr="00145C2C" w:rsidRDefault="00C360D8" w:rsidP="00C360D8">
            <w:pPr>
              <w:numPr>
                <w:ilvl w:val="0"/>
                <w:numId w:val="24"/>
              </w:numPr>
              <w:jc w:val="left"/>
              <w:rPr>
                <w:b/>
                <w:szCs w:val="20"/>
              </w:rPr>
            </w:pPr>
            <w:r w:rsidRPr="00C360D8">
              <w:rPr>
                <w:szCs w:val="20"/>
                <w:lang w:val="es-ES_tradnl"/>
              </w:rPr>
              <w:t>Amortización de activos intangibles</w:t>
            </w:r>
          </w:p>
        </w:tc>
        <w:tc>
          <w:tcPr>
            <w:tcW w:w="3269" w:type="dxa"/>
          </w:tcPr>
          <w:p w:rsidR="00C360D8" w:rsidRPr="00C360D8" w:rsidRDefault="00C360D8" w:rsidP="00C360D8">
            <w:pPr>
              <w:rPr>
                <w:rFonts w:cs="Times New Roman"/>
                <w:b/>
                <w:szCs w:val="20"/>
                <w:lang w:val="es-CR"/>
              </w:rPr>
            </w:pPr>
            <w:r w:rsidRPr="00C360D8">
              <w:rPr>
                <w:b/>
                <w:szCs w:val="20"/>
              </w:rPr>
              <w:lastRenderedPageBreak/>
              <w:t>Lectura recomendada</w:t>
            </w:r>
          </w:p>
          <w:p w:rsidR="00C360D8" w:rsidRPr="00C360D8" w:rsidRDefault="00C360D8" w:rsidP="00C360D8">
            <w:pPr>
              <w:ind w:firstLine="0"/>
              <w:rPr>
                <w:szCs w:val="20"/>
              </w:rPr>
            </w:pPr>
            <w:r w:rsidRPr="00C360D8">
              <w:rPr>
                <w:szCs w:val="20"/>
              </w:rPr>
              <w:t>Capítulo N.7.</w:t>
            </w:r>
            <w:r w:rsidRPr="00C360D8">
              <w:rPr>
                <w:szCs w:val="20"/>
              </w:rPr>
              <w:tab/>
              <w:t>Horngren, Charles T., Sundem, Gary L., Elliott, John A. (2000).</w:t>
            </w:r>
            <w:r w:rsidR="006A7658" w:rsidRPr="00145C2C">
              <w:rPr>
                <w:szCs w:val="20"/>
              </w:rPr>
              <w:t xml:space="preserve"> </w:t>
            </w:r>
            <w:r w:rsidRPr="00C360D8">
              <w:rPr>
                <w:szCs w:val="20"/>
              </w:rPr>
              <w:t xml:space="preserve">Introducción a la Contabilidad </w:t>
            </w:r>
            <w:r w:rsidRPr="00C360D8">
              <w:rPr>
                <w:szCs w:val="20"/>
              </w:rPr>
              <w:lastRenderedPageBreak/>
              <w:t xml:space="preserve">Financiera. México. Pearson </w:t>
            </w:r>
          </w:p>
          <w:p w:rsidR="00350F2C" w:rsidRDefault="00350F2C" w:rsidP="00C360D8">
            <w:pPr>
              <w:ind w:firstLine="0"/>
              <w:rPr>
                <w:szCs w:val="20"/>
              </w:rPr>
            </w:pPr>
          </w:p>
          <w:p w:rsidR="00C360D8" w:rsidRPr="00C360D8" w:rsidRDefault="00C360D8" w:rsidP="00C360D8">
            <w:pPr>
              <w:ind w:firstLine="0"/>
              <w:rPr>
                <w:szCs w:val="20"/>
              </w:rPr>
            </w:pPr>
            <w:r w:rsidRPr="00C360D8">
              <w:rPr>
                <w:szCs w:val="20"/>
              </w:rPr>
              <w:t>Capítulo N.10. Guajardo, Gerardo., Andrade, Nora., (2008). Contabilidad Financiera, México: Mc Graw Hill.</w:t>
            </w:r>
          </w:p>
        </w:tc>
      </w:tr>
      <w:tr w:rsidR="00C360D8" w:rsidRPr="00C360D8" w:rsidTr="00350F2C">
        <w:tc>
          <w:tcPr>
            <w:tcW w:w="6507" w:type="dxa"/>
          </w:tcPr>
          <w:p w:rsidR="00C360D8" w:rsidRPr="00C360D8" w:rsidRDefault="00C360D8" w:rsidP="00C360D8">
            <w:pPr>
              <w:ind w:firstLine="0"/>
              <w:rPr>
                <w:szCs w:val="20"/>
              </w:rPr>
            </w:pPr>
            <w:r w:rsidRPr="00145C2C">
              <w:rPr>
                <w:b/>
                <w:szCs w:val="20"/>
              </w:rPr>
              <w:lastRenderedPageBreak/>
              <w:t>Semana 8: Del 30 de abril al 05 de mayo del 2018</w:t>
            </w:r>
            <w:r w:rsidRPr="00C360D8">
              <w:rPr>
                <w:szCs w:val="20"/>
              </w:rPr>
              <w:t xml:space="preserve"> </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outlineLvl w:val="1"/>
              <w:rPr>
                <w:rFonts w:cs="Times New Roman"/>
                <w:b/>
                <w:color w:val="auto"/>
                <w:szCs w:val="20"/>
                <w:lang w:val="es-CR"/>
              </w:rPr>
            </w:pPr>
            <w:r w:rsidRPr="00C360D8">
              <w:rPr>
                <w:b/>
                <w:color w:val="auto"/>
                <w:szCs w:val="20"/>
              </w:rPr>
              <w:t>Práctica primer examen parcial del curso.</w:t>
            </w:r>
          </w:p>
          <w:p w:rsidR="00C360D8" w:rsidRPr="00C360D8" w:rsidRDefault="00C360D8" w:rsidP="00C360D8">
            <w:pPr>
              <w:outlineLvl w:val="0"/>
              <w:rPr>
                <w:b/>
                <w:szCs w:val="20"/>
              </w:rPr>
            </w:pPr>
          </w:p>
          <w:p w:rsidR="00C360D8" w:rsidRPr="00C360D8" w:rsidRDefault="00C360D8" w:rsidP="00C360D8">
            <w:pPr>
              <w:outlineLvl w:val="1"/>
              <w:rPr>
                <w:b/>
                <w:color w:val="auto"/>
                <w:szCs w:val="20"/>
              </w:rPr>
            </w:pPr>
          </w:p>
        </w:tc>
        <w:tc>
          <w:tcPr>
            <w:tcW w:w="3269" w:type="dxa"/>
          </w:tcPr>
          <w:p w:rsidR="00C360D8" w:rsidRPr="00C360D8" w:rsidRDefault="00C360D8" w:rsidP="00C360D8">
            <w:pPr>
              <w:ind w:firstLine="0"/>
              <w:rPr>
                <w:szCs w:val="20"/>
              </w:rPr>
            </w:pPr>
          </w:p>
          <w:p w:rsidR="00C360D8" w:rsidRPr="00C360D8" w:rsidRDefault="00C360D8" w:rsidP="00C360D8">
            <w:pPr>
              <w:ind w:firstLine="0"/>
              <w:outlineLvl w:val="0"/>
              <w:rPr>
                <w:b/>
                <w:szCs w:val="20"/>
              </w:rPr>
            </w:pPr>
            <w:r w:rsidRPr="00C360D8">
              <w:rPr>
                <w:b/>
                <w:szCs w:val="20"/>
              </w:rPr>
              <w:t>Primer parcial, temas 1,2,3,4</w:t>
            </w:r>
            <w:r w:rsidR="00350F2C">
              <w:rPr>
                <w:b/>
                <w:szCs w:val="20"/>
              </w:rPr>
              <w:t xml:space="preserve"> </w:t>
            </w:r>
            <w:r w:rsidRPr="00C360D8">
              <w:rPr>
                <w:b/>
                <w:szCs w:val="20"/>
              </w:rPr>
              <w:t>y 5 (Examen colegiado, sábado 05 de mayo del 2018, hora: 13:00).</w:t>
            </w:r>
          </w:p>
          <w:p w:rsidR="00C360D8" w:rsidRPr="00C360D8" w:rsidRDefault="00C360D8" w:rsidP="00C360D8">
            <w:pPr>
              <w:ind w:firstLine="0"/>
              <w:rPr>
                <w:szCs w:val="20"/>
              </w:rPr>
            </w:pPr>
          </w:p>
        </w:tc>
      </w:tr>
      <w:tr w:rsidR="00C360D8" w:rsidRPr="00C360D8" w:rsidTr="00350F2C">
        <w:tc>
          <w:tcPr>
            <w:tcW w:w="6507" w:type="dxa"/>
          </w:tcPr>
          <w:p w:rsidR="00C360D8" w:rsidRPr="00145C2C" w:rsidRDefault="00C360D8" w:rsidP="00C360D8">
            <w:pPr>
              <w:ind w:firstLine="0"/>
              <w:rPr>
                <w:b/>
                <w:szCs w:val="20"/>
              </w:rPr>
            </w:pPr>
            <w:r w:rsidRPr="00C360D8">
              <w:rPr>
                <w:b/>
                <w:szCs w:val="20"/>
              </w:rPr>
              <w:t>Semana 9: Del 07 al 12 de mayo del 2018</w:t>
            </w:r>
          </w:p>
        </w:tc>
        <w:tc>
          <w:tcPr>
            <w:tcW w:w="3269" w:type="dxa"/>
          </w:tcPr>
          <w:p w:rsidR="00C360D8" w:rsidRPr="00C360D8" w:rsidRDefault="00C360D8" w:rsidP="00C360D8">
            <w:pPr>
              <w:ind w:firstLine="0"/>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TEMA VIII: ESTADO DE FLUJOS DE EFECTIVO</w:t>
            </w:r>
          </w:p>
          <w:p w:rsidR="00C360D8" w:rsidRPr="00C360D8" w:rsidRDefault="00C360D8" w:rsidP="00C360D8">
            <w:pPr>
              <w:numPr>
                <w:ilvl w:val="0"/>
                <w:numId w:val="25"/>
              </w:numPr>
              <w:jc w:val="left"/>
              <w:rPr>
                <w:szCs w:val="20"/>
                <w:lang w:val="es-ES_tradnl"/>
              </w:rPr>
            </w:pPr>
            <w:r w:rsidRPr="00C360D8">
              <w:rPr>
                <w:szCs w:val="20"/>
                <w:lang w:val="es-ES_tradnl"/>
              </w:rPr>
              <w:t>Resumen general del estado de flujos de efectivo</w:t>
            </w:r>
          </w:p>
          <w:p w:rsidR="00C360D8" w:rsidRPr="00C360D8" w:rsidRDefault="00C360D8" w:rsidP="00C360D8">
            <w:pPr>
              <w:numPr>
                <w:ilvl w:val="0"/>
                <w:numId w:val="25"/>
              </w:numPr>
              <w:jc w:val="left"/>
              <w:rPr>
                <w:szCs w:val="20"/>
                <w:lang w:val="es-ES_tradnl"/>
              </w:rPr>
            </w:pPr>
            <w:r w:rsidRPr="00C360D8">
              <w:rPr>
                <w:szCs w:val="20"/>
                <w:lang w:val="es-ES_tradnl"/>
              </w:rPr>
              <w:t>Preparar y categorizar un estado de flujo de efectivo</w:t>
            </w:r>
          </w:p>
          <w:p w:rsidR="00C360D8" w:rsidRPr="00C360D8" w:rsidRDefault="00C360D8" w:rsidP="00C360D8">
            <w:pPr>
              <w:numPr>
                <w:ilvl w:val="0"/>
                <w:numId w:val="25"/>
              </w:numPr>
              <w:jc w:val="left"/>
              <w:rPr>
                <w:szCs w:val="20"/>
                <w:lang w:val="es-ES_tradnl"/>
              </w:rPr>
            </w:pPr>
            <w:r w:rsidRPr="00C360D8">
              <w:rPr>
                <w:szCs w:val="20"/>
                <w:lang w:val="es-ES_tradnl"/>
              </w:rPr>
              <w:t>El método directo</w:t>
            </w:r>
          </w:p>
          <w:p w:rsidR="00C360D8" w:rsidRPr="00C360D8" w:rsidRDefault="00C360D8" w:rsidP="00C360D8">
            <w:pPr>
              <w:numPr>
                <w:ilvl w:val="0"/>
                <w:numId w:val="25"/>
              </w:numPr>
              <w:jc w:val="left"/>
              <w:rPr>
                <w:szCs w:val="20"/>
                <w:lang w:val="es-ES_tradnl"/>
              </w:rPr>
            </w:pPr>
            <w:r w:rsidRPr="00C360D8">
              <w:rPr>
                <w:szCs w:val="20"/>
                <w:lang w:val="es-ES_tradnl"/>
              </w:rPr>
              <w:t>El método indirecto</w:t>
            </w:r>
          </w:p>
          <w:p w:rsidR="00C360D8" w:rsidRPr="00C360D8" w:rsidRDefault="00C360D8" w:rsidP="00C360D8">
            <w:pPr>
              <w:ind w:firstLine="0"/>
              <w:rPr>
                <w:b/>
                <w:szCs w:val="20"/>
              </w:rPr>
            </w:pPr>
          </w:p>
        </w:tc>
        <w:tc>
          <w:tcPr>
            <w:tcW w:w="3269" w:type="dxa"/>
          </w:tcPr>
          <w:p w:rsidR="00C360D8" w:rsidRPr="00C360D8" w:rsidRDefault="00C360D8" w:rsidP="00C360D8">
            <w:pPr>
              <w:ind w:firstLine="0"/>
              <w:rPr>
                <w:szCs w:val="20"/>
              </w:rPr>
            </w:pPr>
          </w:p>
          <w:p w:rsidR="00C360D8" w:rsidRPr="00C360D8" w:rsidRDefault="00C360D8" w:rsidP="00C360D8">
            <w:pPr>
              <w:rPr>
                <w:rFonts w:cs="Times New Roman"/>
                <w:b/>
                <w:szCs w:val="20"/>
                <w:lang w:val="es-CR"/>
              </w:rPr>
            </w:pPr>
            <w:r w:rsidRPr="00C360D8">
              <w:rPr>
                <w:b/>
                <w:szCs w:val="20"/>
              </w:rPr>
              <w:t>Lectura recomendada:</w:t>
            </w:r>
          </w:p>
          <w:p w:rsidR="00C360D8" w:rsidRPr="00C360D8" w:rsidRDefault="00C360D8" w:rsidP="00C360D8">
            <w:pPr>
              <w:ind w:firstLine="0"/>
              <w:rPr>
                <w:szCs w:val="20"/>
              </w:rPr>
            </w:pPr>
            <w:r w:rsidRPr="00C360D8">
              <w:rPr>
                <w:szCs w:val="20"/>
              </w:rPr>
              <w:t>Capítulo N.10. Horngren, Charles T., Sundem, Gary L., Elliott, John A. (2000).</w:t>
            </w:r>
            <w:r w:rsidR="006A7658" w:rsidRPr="00145C2C">
              <w:rPr>
                <w:szCs w:val="20"/>
              </w:rPr>
              <w:t xml:space="preserve"> </w:t>
            </w:r>
            <w:r w:rsidRPr="00C360D8">
              <w:rPr>
                <w:szCs w:val="20"/>
              </w:rPr>
              <w:t xml:space="preserve">Introducción a la Contabilidad Financiera. México. Pearson </w:t>
            </w:r>
          </w:p>
          <w:p w:rsidR="00C360D8" w:rsidRPr="00C360D8" w:rsidRDefault="00C360D8" w:rsidP="00C360D8">
            <w:pPr>
              <w:ind w:firstLine="0"/>
              <w:rPr>
                <w:szCs w:val="20"/>
              </w:rPr>
            </w:pPr>
            <w:r w:rsidRPr="00C360D8">
              <w:rPr>
                <w:szCs w:val="20"/>
              </w:rPr>
              <w:t>Capítulo N.14. Guajardo, Gerardo., Andrade, Nora., (2008). Contabilidad Financiera, México: Mc Graw Hill.</w:t>
            </w:r>
          </w:p>
        </w:tc>
      </w:tr>
      <w:tr w:rsidR="00C360D8" w:rsidRPr="00C360D8" w:rsidTr="00350F2C">
        <w:tc>
          <w:tcPr>
            <w:tcW w:w="6507" w:type="dxa"/>
          </w:tcPr>
          <w:p w:rsidR="00C360D8" w:rsidRPr="00C360D8" w:rsidRDefault="00C360D8" w:rsidP="00C360D8">
            <w:pPr>
              <w:ind w:firstLine="0"/>
              <w:rPr>
                <w:b/>
                <w:szCs w:val="20"/>
              </w:rPr>
            </w:pPr>
            <w:r w:rsidRPr="00C360D8">
              <w:rPr>
                <w:b/>
                <w:szCs w:val="20"/>
              </w:rPr>
              <w:t>Semana 10: Del 14 al 19 de mayo del 2018</w:t>
            </w:r>
          </w:p>
        </w:tc>
        <w:tc>
          <w:tcPr>
            <w:tcW w:w="3269" w:type="dxa"/>
          </w:tcPr>
          <w:p w:rsidR="00C360D8" w:rsidRPr="00C360D8" w:rsidRDefault="00C360D8" w:rsidP="00C360D8">
            <w:pPr>
              <w:ind w:firstLine="0"/>
              <w:rPr>
                <w:szCs w:val="20"/>
              </w:rPr>
            </w:pPr>
          </w:p>
        </w:tc>
      </w:tr>
      <w:tr w:rsidR="00C360D8" w:rsidRPr="00C360D8" w:rsidTr="00350F2C">
        <w:trPr>
          <w:trHeight w:val="394"/>
        </w:trPr>
        <w:tc>
          <w:tcPr>
            <w:tcW w:w="6507" w:type="dxa"/>
          </w:tcPr>
          <w:p w:rsidR="00C360D8" w:rsidRPr="00C360D8" w:rsidRDefault="00C360D8" w:rsidP="00C360D8">
            <w:pPr>
              <w:ind w:firstLine="0"/>
              <w:outlineLvl w:val="0"/>
              <w:rPr>
                <w:rFonts w:cs="Times New Roman"/>
                <w:b/>
                <w:szCs w:val="20"/>
                <w:lang w:val="es-CR"/>
              </w:rPr>
            </w:pPr>
            <w:r w:rsidRPr="00C360D8">
              <w:rPr>
                <w:b/>
                <w:szCs w:val="20"/>
              </w:rPr>
              <w:t>II PARTE DEL CURSO</w:t>
            </w:r>
          </w:p>
          <w:p w:rsidR="00C360D8" w:rsidRPr="00C360D8" w:rsidRDefault="00C360D8" w:rsidP="00C360D8">
            <w:pPr>
              <w:ind w:firstLine="0"/>
              <w:rPr>
                <w:b/>
                <w:szCs w:val="20"/>
                <w:lang w:val="es-ES_tradnl"/>
              </w:rPr>
            </w:pPr>
            <w:r w:rsidRPr="00C360D8">
              <w:rPr>
                <w:b/>
                <w:szCs w:val="20"/>
              </w:rPr>
              <w:t>ADMINISTRACION FINANCIERA</w:t>
            </w:r>
          </w:p>
          <w:p w:rsidR="00C360D8" w:rsidRPr="00C360D8" w:rsidRDefault="00C360D8" w:rsidP="00C360D8">
            <w:pPr>
              <w:shd w:val="clear" w:color="auto" w:fill="FFFFFF"/>
              <w:ind w:firstLine="0"/>
              <w:jc w:val="left"/>
              <w:rPr>
                <w:rFonts w:cs="Calibri"/>
                <w:color w:val="000000"/>
                <w:szCs w:val="20"/>
                <w:lang w:val="es-CR" w:eastAsia="es-CR"/>
              </w:rPr>
            </w:pPr>
            <w:r w:rsidRPr="00C360D8">
              <w:rPr>
                <w:rFonts w:cs="Calibri"/>
                <w:b/>
                <w:bCs/>
                <w:szCs w:val="20"/>
                <w:lang w:val="es-ES_tradnl" w:eastAsia="es-CR"/>
              </w:rPr>
              <w:t>TEMA IX: VALOR DEL DINERO EN EL TIEMPO</w:t>
            </w:r>
          </w:p>
          <w:p w:rsidR="00C360D8" w:rsidRPr="00C360D8" w:rsidRDefault="00C360D8" w:rsidP="006A7658">
            <w:pPr>
              <w:numPr>
                <w:ilvl w:val="0"/>
                <w:numId w:val="26"/>
              </w:numPr>
              <w:tabs>
                <w:tab w:val="num" w:pos="720"/>
              </w:tabs>
              <w:jc w:val="left"/>
              <w:rPr>
                <w:szCs w:val="20"/>
                <w:lang w:val="es-ES_tradnl"/>
              </w:rPr>
            </w:pPr>
            <w:r w:rsidRPr="00C360D8">
              <w:rPr>
                <w:szCs w:val="20"/>
                <w:lang w:val="es-ES_tradnl"/>
              </w:rPr>
              <w:t>Interés simple</w:t>
            </w:r>
          </w:p>
          <w:p w:rsidR="00C360D8" w:rsidRPr="00C360D8" w:rsidRDefault="00C360D8" w:rsidP="006A7658">
            <w:pPr>
              <w:numPr>
                <w:ilvl w:val="0"/>
                <w:numId w:val="26"/>
              </w:numPr>
              <w:tabs>
                <w:tab w:val="num" w:pos="720"/>
              </w:tabs>
              <w:jc w:val="left"/>
              <w:rPr>
                <w:szCs w:val="20"/>
                <w:lang w:val="es-ES_tradnl"/>
              </w:rPr>
            </w:pPr>
            <w:r w:rsidRPr="00C360D8">
              <w:rPr>
                <w:szCs w:val="20"/>
                <w:lang w:val="es-ES_tradnl"/>
              </w:rPr>
              <w:t>Interés compuesto</w:t>
            </w:r>
          </w:p>
          <w:p w:rsidR="00C360D8" w:rsidRPr="00C360D8" w:rsidRDefault="00C360D8" w:rsidP="006A7658">
            <w:pPr>
              <w:numPr>
                <w:ilvl w:val="0"/>
                <w:numId w:val="26"/>
              </w:numPr>
              <w:tabs>
                <w:tab w:val="num" w:pos="720"/>
              </w:tabs>
              <w:jc w:val="left"/>
              <w:rPr>
                <w:szCs w:val="20"/>
                <w:lang w:val="es-ES_tradnl"/>
              </w:rPr>
            </w:pPr>
            <w:r w:rsidRPr="00C360D8">
              <w:rPr>
                <w:szCs w:val="20"/>
                <w:lang w:val="es-ES_tradnl"/>
              </w:rPr>
              <w:t>Valor futuro</w:t>
            </w:r>
          </w:p>
          <w:p w:rsidR="00C360D8" w:rsidRPr="00C360D8" w:rsidRDefault="00C360D8" w:rsidP="006A7658">
            <w:pPr>
              <w:numPr>
                <w:ilvl w:val="0"/>
                <w:numId w:val="26"/>
              </w:numPr>
              <w:tabs>
                <w:tab w:val="num" w:pos="720"/>
              </w:tabs>
              <w:jc w:val="left"/>
              <w:rPr>
                <w:szCs w:val="20"/>
                <w:lang w:val="es-ES_tradnl"/>
              </w:rPr>
            </w:pPr>
            <w:r w:rsidRPr="00C360D8">
              <w:rPr>
                <w:szCs w:val="20"/>
                <w:lang w:val="es-ES_tradnl"/>
              </w:rPr>
              <w:t>Valor presente</w:t>
            </w:r>
          </w:p>
          <w:p w:rsidR="00C360D8" w:rsidRPr="00145C2C" w:rsidRDefault="00C360D8" w:rsidP="006A7658">
            <w:pPr>
              <w:numPr>
                <w:ilvl w:val="0"/>
                <w:numId w:val="26"/>
              </w:numPr>
              <w:tabs>
                <w:tab w:val="num" w:pos="720"/>
              </w:tabs>
              <w:jc w:val="left"/>
              <w:rPr>
                <w:rFonts w:cs="Calibri"/>
                <w:szCs w:val="20"/>
                <w:lang w:val="es-CR" w:eastAsia="es-CR"/>
              </w:rPr>
            </w:pPr>
            <w:r w:rsidRPr="00C360D8">
              <w:rPr>
                <w:szCs w:val="20"/>
                <w:lang w:val="es-ES_tradnl"/>
              </w:rPr>
              <w:t>Anualidades</w:t>
            </w:r>
          </w:p>
          <w:p w:rsidR="006A7658" w:rsidRPr="00C360D8" w:rsidRDefault="006A7658" w:rsidP="006A7658">
            <w:pPr>
              <w:ind w:left="720" w:firstLine="0"/>
              <w:jc w:val="left"/>
              <w:rPr>
                <w:rFonts w:cs="Calibri"/>
                <w:szCs w:val="20"/>
                <w:lang w:val="es-CR" w:eastAsia="es-CR"/>
              </w:rPr>
            </w:pPr>
          </w:p>
        </w:tc>
        <w:tc>
          <w:tcPr>
            <w:tcW w:w="3269" w:type="dxa"/>
          </w:tcPr>
          <w:p w:rsidR="00C360D8" w:rsidRPr="00C360D8" w:rsidRDefault="00C360D8" w:rsidP="00C360D8">
            <w:pPr>
              <w:ind w:firstLine="0"/>
              <w:rPr>
                <w:rFonts w:cs="Times New Roman"/>
                <w:b/>
                <w:szCs w:val="20"/>
                <w:lang w:val="es-CR"/>
              </w:rPr>
            </w:pPr>
            <w:r w:rsidRPr="00C360D8">
              <w:rPr>
                <w:b/>
                <w:szCs w:val="20"/>
              </w:rPr>
              <w:t>Lectura recomendada:</w:t>
            </w:r>
          </w:p>
          <w:p w:rsidR="00C360D8" w:rsidRPr="00C360D8" w:rsidRDefault="00C360D8" w:rsidP="00C360D8">
            <w:pPr>
              <w:ind w:firstLine="0"/>
              <w:rPr>
                <w:szCs w:val="20"/>
              </w:rPr>
            </w:pPr>
            <w:r w:rsidRPr="00C360D8">
              <w:rPr>
                <w:szCs w:val="20"/>
              </w:rPr>
              <w:t>Capítulos N.4. Gitman, Lawrence J. (2007). Principios de Administración Financiera. México. Pearson</w:t>
            </w:r>
          </w:p>
        </w:tc>
      </w:tr>
      <w:tr w:rsidR="00C360D8" w:rsidRPr="00C360D8" w:rsidTr="00350F2C">
        <w:tc>
          <w:tcPr>
            <w:tcW w:w="6507" w:type="dxa"/>
          </w:tcPr>
          <w:p w:rsidR="00C360D8" w:rsidRPr="00C360D8" w:rsidRDefault="00C360D8" w:rsidP="00C360D8">
            <w:pPr>
              <w:ind w:firstLine="0"/>
              <w:rPr>
                <w:b/>
                <w:szCs w:val="20"/>
              </w:rPr>
            </w:pPr>
            <w:r w:rsidRPr="00145C2C">
              <w:rPr>
                <w:b/>
                <w:szCs w:val="20"/>
              </w:rPr>
              <w:t>Semana 11</w:t>
            </w:r>
            <w:r w:rsidRPr="00C360D8">
              <w:rPr>
                <w:b/>
                <w:szCs w:val="20"/>
              </w:rPr>
              <w:t>: Del 21 al 26 de mayo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rPr>
                <w:b/>
                <w:szCs w:val="20"/>
              </w:rPr>
            </w:pPr>
            <w:r w:rsidRPr="00C360D8">
              <w:rPr>
                <w:b/>
                <w:szCs w:val="20"/>
              </w:rPr>
              <w:t>TEMA X: PAPEL Y ENTORNO DE LA ADMINISTRACIÒN FINANCIERA</w:t>
            </w:r>
          </w:p>
          <w:p w:rsidR="00C360D8" w:rsidRPr="00C360D8" w:rsidRDefault="00C360D8" w:rsidP="006A7658">
            <w:pPr>
              <w:numPr>
                <w:ilvl w:val="0"/>
                <w:numId w:val="31"/>
              </w:numPr>
              <w:jc w:val="left"/>
              <w:rPr>
                <w:szCs w:val="20"/>
                <w:lang w:val="es-ES_tradnl"/>
              </w:rPr>
            </w:pPr>
            <w:r w:rsidRPr="00C360D8">
              <w:rPr>
                <w:szCs w:val="20"/>
                <w:lang w:val="es-ES_tradnl"/>
              </w:rPr>
              <w:t>Finanzas y empresas</w:t>
            </w:r>
          </w:p>
          <w:p w:rsidR="00C360D8" w:rsidRPr="00C360D8" w:rsidRDefault="00C360D8" w:rsidP="006A7658">
            <w:pPr>
              <w:numPr>
                <w:ilvl w:val="0"/>
                <w:numId w:val="31"/>
              </w:numPr>
              <w:jc w:val="left"/>
              <w:rPr>
                <w:szCs w:val="20"/>
                <w:lang w:val="es-ES_tradnl"/>
              </w:rPr>
            </w:pPr>
            <w:r w:rsidRPr="00C360D8">
              <w:rPr>
                <w:szCs w:val="20"/>
                <w:lang w:val="es-ES_tradnl"/>
              </w:rPr>
              <w:t>Organización de la función financiera</w:t>
            </w:r>
          </w:p>
          <w:p w:rsidR="00C360D8" w:rsidRPr="00C360D8" w:rsidRDefault="00C360D8" w:rsidP="006A7658">
            <w:pPr>
              <w:numPr>
                <w:ilvl w:val="0"/>
                <w:numId w:val="31"/>
              </w:numPr>
              <w:jc w:val="left"/>
              <w:rPr>
                <w:szCs w:val="20"/>
                <w:lang w:val="es-ES_tradnl"/>
              </w:rPr>
            </w:pPr>
            <w:r w:rsidRPr="00C360D8">
              <w:rPr>
                <w:szCs w:val="20"/>
                <w:lang w:val="es-ES_tradnl"/>
              </w:rPr>
              <w:t>El Objetivo de la empresa</w:t>
            </w:r>
          </w:p>
          <w:p w:rsidR="00C360D8" w:rsidRPr="00C360D8" w:rsidRDefault="00C360D8" w:rsidP="006A7658">
            <w:pPr>
              <w:numPr>
                <w:ilvl w:val="0"/>
                <w:numId w:val="31"/>
              </w:numPr>
              <w:jc w:val="left"/>
              <w:rPr>
                <w:szCs w:val="20"/>
                <w:lang w:val="es-ES_tradnl"/>
              </w:rPr>
            </w:pPr>
            <w:r w:rsidRPr="00C360D8">
              <w:rPr>
                <w:szCs w:val="20"/>
                <w:lang w:val="es-ES_tradnl"/>
              </w:rPr>
              <w:t>Instituciones y mercados financieros</w:t>
            </w:r>
          </w:p>
          <w:p w:rsidR="00C360D8" w:rsidRPr="00C360D8" w:rsidRDefault="00C360D8" w:rsidP="00C360D8">
            <w:pPr>
              <w:ind w:firstLine="0"/>
              <w:rPr>
                <w:szCs w:val="20"/>
              </w:rPr>
            </w:pPr>
          </w:p>
        </w:tc>
        <w:tc>
          <w:tcPr>
            <w:tcW w:w="3269" w:type="dxa"/>
          </w:tcPr>
          <w:p w:rsidR="00C360D8" w:rsidRPr="00C360D8" w:rsidRDefault="00C360D8" w:rsidP="00C360D8">
            <w:pPr>
              <w:ind w:firstLine="0"/>
              <w:rPr>
                <w:rFonts w:cs="Times New Roman"/>
                <w:b/>
                <w:szCs w:val="20"/>
                <w:lang w:val="es-CR"/>
              </w:rPr>
            </w:pPr>
            <w:r w:rsidRPr="00C360D8">
              <w:rPr>
                <w:b/>
                <w:szCs w:val="20"/>
              </w:rPr>
              <w:t>Lectura recomendada:</w:t>
            </w:r>
          </w:p>
          <w:p w:rsidR="00C360D8" w:rsidRPr="00C360D8" w:rsidRDefault="00C360D8" w:rsidP="00C360D8">
            <w:pPr>
              <w:ind w:firstLine="0"/>
              <w:rPr>
                <w:szCs w:val="20"/>
              </w:rPr>
            </w:pPr>
            <w:r w:rsidRPr="00C360D8">
              <w:rPr>
                <w:szCs w:val="20"/>
              </w:rPr>
              <w:t xml:space="preserve">Capítulos N.1. Gitman, Lawrence J. (2007). Principios de Administración Financiera. México. Pearson </w:t>
            </w:r>
          </w:p>
          <w:p w:rsidR="00C360D8" w:rsidRPr="00C360D8" w:rsidRDefault="00C360D8" w:rsidP="00C360D8">
            <w:pPr>
              <w:ind w:firstLine="0"/>
              <w:rPr>
                <w:szCs w:val="20"/>
              </w:rPr>
            </w:pPr>
            <w:r w:rsidRPr="00C360D8">
              <w:rPr>
                <w:szCs w:val="20"/>
              </w:rPr>
              <w:t xml:space="preserve">Capítulo N.1 Salas, </w:t>
            </w:r>
            <w:r w:rsidR="00145C2C" w:rsidRPr="00C360D8">
              <w:rPr>
                <w:szCs w:val="20"/>
              </w:rPr>
              <w:t>Tarsicio</w:t>
            </w:r>
            <w:r w:rsidRPr="00C360D8">
              <w:rPr>
                <w:szCs w:val="20"/>
              </w:rPr>
              <w:t>. (2016), Análisis y Diagnóstico Financiero, Costa Rica, Guayacán.</w:t>
            </w:r>
          </w:p>
        </w:tc>
      </w:tr>
      <w:tr w:rsidR="00C360D8" w:rsidRPr="00C360D8" w:rsidTr="00350F2C">
        <w:tc>
          <w:tcPr>
            <w:tcW w:w="6507" w:type="dxa"/>
          </w:tcPr>
          <w:p w:rsidR="00C360D8" w:rsidRPr="00C360D8" w:rsidRDefault="00C360D8" w:rsidP="00C360D8">
            <w:pPr>
              <w:ind w:firstLine="0"/>
              <w:rPr>
                <w:b/>
                <w:szCs w:val="20"/>
              </w:rPr>
            </w:pPr>
            <w:r w:rsidRPr="00145C2C">
              <w:rPr>
                <w:b/>
                <w:szCs w:val="20"/>
              </w:rPr>
              <w:t>Semana 12</w:t>
            </w:r>
            <w:r w:rsidRPr="00C360D8">
              <w:rPr>
                <w:b/>
                <w:szCs w:val="20"/>
              </w:rPr>
              <w:t>: Del 28 de mayo al 02 de junio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outlineLvl w:val="1"/>
              <w:rPr>
                <w:rFonts w:cs="Times New Roman"/>
                <w:b/>
                <w:color w:val="auto"/>
                <w:szCs w:val="20"/>
                <w:lang w:val="es-CR"/>
              </w:rPr>
            </w:pPr>
            <w:r w:rsidRPr="00C360D8">
              <w:rPr>
                <w:b/>
                <w:color w:val="auto"/>
                <w:szCs w:val="20"/>
              </w:rPr>
              <w:t>Práctica segundo examen parcial del curso.</w:t>
            </w:r>
          </w:p>
          <w:p w:rsidR="00C360D8" w:rsidRPr="00C360D8" w:rsidRDefault="00C360D8" w:rsidP="00C360D8">
            <w:pPr>
              <w:ind w:firstLine="0"/>
              <w:rPr>
                <w:b/>
                <w:szCs w:val="20"/>
              </w:rPr>
            </w:pPr>
          </w:p>
        </w:tc>
        <w:tc>
          <w:tcPr>
            <w:tcW w:w="3269" w:type="dxa"/>
          </w:tcPr>
          <w:p w:rsidR="00C360D8" w:rsidRPr="00C360D8" w:rsidRDefault="00C360D8" w:rsidP="00C360D8">
            <w:pPr>
              <w:ind w:firstLine="0"/>
              <w:outlineLvl w:val="0"/>
              <w:rPr>
                <w:rFonts w:cs="Times New Roman"/>
                <w:b/>
                <w:szCs w:val="20"/>
                <w:lang w:val="es-CR"/>
              </w:rPr>
            </w:pPr>
            <w:r w:rsidRPr="00C360D8">
              <w:rPr>
                <w:b/>
                <w:szCs w:val="20"/>
              </w:rPr>
              <w:t xml:space="preserve">Segundo parcial, temas 6,7,8 y 9 (Examen colegiado, sábado 02 de </w:t>
            </w:r>
            <w:r w:rsidRPr="00C360D8">
              <w:rPr>
                <w:b/>
                <w:szCs w:val="20"/>
              </w:rPr>
              <w:lastRenderedPageBreak/>
              <w:t>junio del 2018, hora: 13:00).</w:t>
            </w:r>
          </w:p>
          <w:p w:rsidR="00C360D8" w:rsidRPr="00C360D8" w:rsidRDefault="00C360D8" w:rsidP="00C360D8">
            <w:pPr>
              <w:ind w:left="720" w:firstLine="0"/>
              <w:contextualSpacing/>
              <w:rPr>
                <w:szCs w:val="20"/>
              </w:rPr>
            </w:pPr>
          </w:p>
        </w:tc>
      </w:tr>
      <w:tr w:rsidR="00C360D8" w:rsidRPr="00C360D8" w:rsidTr="00350F2C">
        <w:tc>
          <w:tcPr>
            <w:tcW w:w="6507" w:type="dxa"/>
          </w:tcPr>
          <w:p w:rsidR="00C360D8" w:rsidRPr="00C360D8" w:rsidRDefault="00C360D8" w:rsidP="00C360D8">
            <w:pPr>
              <w:ind w:firstLine="0"/>
              <w:rPr>
                <w:b/>
                <w:szCs w:val="20"/>
              </w:rPr>
            </w:pPr>
            <w:r w:rsidRPr="00145C2C">
              <w:rPr>
                <w:b/>
                <w:szCs w:val="20"/>
              </w:rPr>
              <w:lastRenderedPageBreak/>
              <w:t>Semana 13</w:t>
            </w:r>
            <w:r w:rsidRPr="00C360D8">
              <w:rPr>
                <w:b/>
                <w:szCs w:val="20"/>
              </w:rPr>
              <w:t>: Del 04 al 09 de junio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 xml:space="preserve">TEMA XI: ANALISIS DE LOS ESTADOS FINANCIEROS </w:t>
            </w:r>
          </w:p>
          <w:p w:rsidR="00C360D8" w:rsidRPr="00C360D8" w:rsidRDefault="00C360D8" w:rsidP="00C360D8">
            <w:pPr>
              <w:numPr>
                <w:ilvl w:val="0"/>
                <w:numId w:val="27"/>
              </w:numPr>
              <w:jc w:val="left"/>
              <w:rPr>
                <w:szCs w:val="20"/>
                <w:lang w:val="es-ES_tradnl"/>
              </w:rPr>
            </w:pPr>
            <w:r w:rsidRPr="00C360D8">
              <w:rPr>
                <w:szCs w:val="20"/>
                <w:lang w:val="es-ES_tradnl"/>
              </w:rPr>
              <w:t>Objetivos del análisis de los estados financieros</w:t>
            </w:r>
          </w:p>
          <w:p w:rsidR="00C360D8" w:rsidRPr="00C360D8" w:rsidRDefault="00C360D8" w:rsidP="00C360D8">
            <w:pPr>
              <w:numPr>
                <w:ilvl w:val="0"/>
                <w:numId w:val="27"/>
              </w:numPr>
              <w:jc w:val="left"/>
              <w:rPr>
                <w:szCs w:val="20"/>
                <w:lang w:val="es-ES_tradnl"/>
              </w:rPr>
            </w:pPr>
            <w:r w:rsidRPr="00C360D8">
              <w:rPr>
                <w:szCs w:val="20"/>
                <w:lang w:val="es-ES_tradnl"/>
              </w:rPr>
              <w:t>Comparaciones de tipos de razones financieras</w:t>
            </w:r>
          </w:p>
          <w:p w:rsidR="00C360D8" w:rsidRPr="00C360D8" w:rsidRDefault="00C360D8" w:rsidP="00C360D8">
            <w:pPr>
              <w:numPr>
                <w:ilvl w:val="0"/>
                <w:numId w:val="27"/>
              </w:numPr>
              <w:jc w:val="left"/>
              <w:rPr>
                <w:szCs w:val="20"/>
                <w:lang w:val="es-ES_tradnl"/>
              </w:rPr>
            </w:pPr>
            <w:r w:rsidRPr="00C360D8">
              <w:rPr>
                <w:szCs w:val="20"/>
                <w:lang w:val="es-ES_tradnl"/>
              </w:rPr>
              <w:t>Categorías de razones financieras:</w:t>
            </w:r>
          </w:p>
          <w:p w:rsidR="00C360D8" w:rsidRPr="00C360D8" w:rsidRDefault="00C360D8" w:rsidP="00C360D8">
            <w:pPr>
              <w:numPr>
                <w:ilvl w:val="0"/>
                <w:numId w:val="27"/>
              </w:numPr>
              <w:jc w:val="left"/>
              <w:rPr>
                <w:szCs w:val="20"/>
                <w:lang w:val="es-ES_tradnl"/>
              </w:rPr>
            </w:pPr>
            <w:r w:rsidRPr="00C360D8">
              <w:rPr>
                <w:szCs w:val="20"/>
                <w:lang w:val="es-ES_tradnl"/>
              </w:rPr>
              <w:t>Rentabilidad, liquidez, endeudamiento; entendimiento del concepto de solvencia y solidez financiera.</w:t>
            </w:r>
          </w:p>
          <w:p w:rsidR="00C360D8" w:rsidRPr="00C360D8" w:rsidRDefault="00C360D8" w:rsidP="00C360D8">
            <w:pPr>
              <w:numPr>
                <w:ilvl w:val="0"/>
                <w:numId w:val="27"/>
              </w:numPr>
              <w:jc w:val="left"/>
              <w:rPr>
                <w:szCs w:val="20"/>
                <w:lang w:val="es-ES_tradnl"/>
              </w:rPr>
            </w:pPr>
            <w:r w:rsidRPr="00C360D8">
              <w:rPr>
                <w:szCs w:val="20"/>
                <w:lang w:val="es-ES_tradnl"/>
              </w:rPr>
              <w:t>Método Dupont</w:t>
            </w:r>
          </w:p>
          <w:p w:rsidR="00C360D8" w:rsidRPr="00C360D8" w:rsidRDefault="00C360D8" w:rsidP="00C360D8">
            <w:pPr>
              <w:jc w:val="left"/>
              <w:rPr>
                <w:b/>
                <w:szCs w:val="20"/>
              </w:rPr>
            </w:pPr>
          </w:p>
          <w:p w:rsidR="00C360D8" w:rsidRPr="00C360D8" w:rsidRDefault="00C360D8" w:rsidP="00C360D8">
            <w:pPr>
              <w:jc w:val="left"/>
              <w:rPr>
                <w:b/>
                <w:szCs w:val="20"/>
              </w:rPr>
            </w:pPr>
          </w:p>
        </w:tc>
        <w:tc>
          <w:tcPr>
            <w:tcW w:w="3269" w:type="dxa"/>
          </w:tcPr>
          <w:p w:rsidR="00C360D8" w:rsidRPr="00C360D8" w:rsidRDefault="00C360D8" w:rsidP="00350F2C">
            <w:pPr>
              <w:ind w:firstLine="0"/>
              <w:jc w:val="center"/>
              <w:rPr>
                <w:rFonts w:cs="Times New Roman"/>
                <w:b/>
                <w:szCs w:val="20"/>
                <w:lang w:val="es-CR"/>
              </w:rPr>
            </w:pPr>
            <w:r w:rsidRPr="00C360D8">
              <w:rPr>
                <w:b/>
                <w:szCs w:val="20"/>
              </w:rPr>
              <w:t>Lecturas recomendadas</w:t>
            </w:r>
          </w:p>
          <w:p w:rsidR="00C360D8" w:rsidRPr="00C360D8" w:rsidRDefault="00C360D8" w:rsidP="00C360D8">
            <w:pPr>
              <w:ind w:firstLine="0"/>
              <w:rPr>
                <w:szCs w:val="20"/>
              </w:rPr>
            </w:pPr>
            <w:r w:rsidRPr="00C360D8">
              <w:rPr>
                <w:szCs w:val="20"/>
              </w:rPr>
              <w:t>Capítulos N.13. Horngren, Charles T., Sundem, Gary L., Elliott, John A. (2000).</w:t>
            </w:r>
            <w:r w:rsidR="006A7658" w:rsidRPr="00145C2C">
              <w:rPr>
                <w:szCs w:val="20"/>
              </w:rPr>
              <w:t xml:space="preserve"> </w:t>
            </w:r>
            <w:r w:rsidRPr="00C360D8">
              <w:rPr>
                <w:szCs w:val="20"/>
              </w:rPr>
              <w:t>Introducción a la Contabilidad Financiera. México. Pearson</w:t>
            </w:r>
          </w:p>
          <w:p w:rsidR="00350F2C" w:rsidRDefault="00350F2C" w:rsidP="00C360D8">
            <w:pPr>
              <w:ind w:firstLine="0"/>
              <w:rPr>
                <w:szCs w:val="20"/>
              </w:rPr>
            </w:pPr>
          </w:p>
          <w:p w:rsidR="00C360D8" w:rsidRPr="00C360D8" w:rsidRDefault="00C360D8" w:rsidP="00C360D8">
            <w:pPr>
              <w:ind w:firstLine="0"/>
              <w:rPr>
                <w:szCs w:val="20"/>
              </w:rPr>
            </w:pPr>
            <w:r w:rsidRPr="00C360D8">
              <w:rPr>
                <w:szCs w:val="20"/>
              </w:rPr>
              <w:t>Capítulos N.2.</w:t>
            </w:r>
            <w:r w:rsidRPr="00C360D8">
              <w:rPr>
                <w:szCs w:val="20"/>
              </w:rPr>
              <w:tab/>
              <w:t xml:space="preserve">Gitman, Lawrence J. (2007). Principios de Administración Financiera. México. Pearson </w:t>
            </w:r>
          </w:p>
          <w:p w:rsidR="00350F2C" w:rsidRDefault="00350F2C" w:rsidP="00C360D8">
            <w:pPr>
              <w:ind w:firstLine="0"/>
              <w:rPr>
                <w:szCs w:val="20"/>
              </w:rPr>
            </w:pPr>
          </w:p>
          <w:p w:rsidR="00C360D8" w:rsidRPr="00C360D8" w:rsidRDefault="00C360D8" w:rsidP="00C360D8">
            <w:pPr>
              <w:ind w:firstLine="0"/>
              <w:rPr>
                <w:szCs w:val="20"/>
              </w:rPr>
            </w:pPr>
            <w:r w:rsidRPr="00C360D8">
              <w:rPr>
                <w:szCs w:val="20"/>
              </w:rPr>
              <w:t>Capítulos N.2, N.3 y N.4</w:t>
            </w:r>
            <w:r w:rsidR="006A7658" w:rsidRPr="00145C2C">
              <w:rPr>
                <w:szCs w:val="20"/>
              </w:rPr>
              <w:t>.</w:t>
            </w:r>
            <w:r w:rsidRPr="00C360D8">
              <w:rPr>
                <w:szCs w:val="20"/>
              </w:rPr>
              <w:t xml:space="preserve">  Salas, </w:t>
            </w:r>
            <w:r w:rsidR="00145C2C" w:rsidRPr="00C360D8">
              <w:rPr>
                <w:szCs w:val="20"/>
              </w:rPr>
              <w:t>Tarsicio.,</w:t>
            </w:r>
            <w:r w:rsidRPr="00C360D8">
              <w:rPr>
                <w:szCs w:val="20"/>
              </w:rPr>
              <w:t xml:space="preserve"> (2016), Análisis y Diagnóstico Financiero, Costa Rica, Guayacán.</w:t>
            </w:r>
          </w:p>
        </w:tc>
      </w:tr>
      <w:tr w:rsidR="00C360D8" w:rsidRPr="00C360D8" w:rsidTr="00350F2C">
        <w:tc>
          <w:tcPr>
            <w:tcW w:w="6507" w:type="dxa"/>
          </w:tcPr>
          <w:p w:rsidR="00C360D8" w:rsidRPr="00C360D8" w:rsidRDefault="00C360D8" w:rsidP="00C360D8">
            <w:pPr>
              <w:ind w:firstLine="0"/>
              <w:rPr>
                <w:b/>
                <w:szCs w:val="20"/>
              </w:rPr>
            </w:pPr>
            <w:r w:rsidRPr="00145C2C">
              <w:rPr>
                <w:b/>
                <w:szCs w:val="20"/>
              </w:rPr>
              <w:t>Semana 14</w:t>
            </w:r>
            <w:r w:rsidRPr="00C360D8">
              <w:rPr>
                <w:b/>
                <w:szCs w:val="20"/>
              </w:rPr>
              <w:t>: Del 11 al 16 de junio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outlineLvl w:val="1"/>
              <w:rPr>
                <w:rFonts w:cs="Times New Roman"/>
                <w:b/>
                <w:color w:val="auto"/>
                <w:szCs w:val="20"/>
                <w:lang w:val="es-CR"/>
              </w:rPr>
            </w:pPr>
            <w:r w:rsidRPr="00C360D8">
              <w:rPr>
                <w:b/>
                <w:color w:val="auto"/>
                <w:szCs w:val="20"/>
              </w:rPr>
              <w:t>Tema: Trabajo individual especial sobre análisis financiero</w:t>
            </w:r>
          </w:p>
          <w:p w:rsidR="00C360D8" w:rsidRPr="00C360D8" w:rsidRDefault="00C360D8" w:rsidP="00C360D8">
            <w:pPr>
              <w:ind w:firstLine="0"/>
              <w:rPr>
                <w:b/>
                <w:szCs w:val="20"/>
              </w:rPr>
            </w:pPr>
          </w:p>
        </w:tc>
        <w:tc>
          <w:tcPr>
            <w:tcW w:w="3269" w:type="dxa"/>
          </w:tcPr>
          <w:p w:rsidR="00C360D8" w:rsidRPr="00C360D8" w:rsidRDefault="00C360D8" w:rsidP="00C360D8">
            <w:pPr>
              <w:ind w:left="720" w:firstLine="0"/>
              <w:contextualSpacing/>
              <w:rPr>
                <w:szCs w:val="20"/>
              </w:rPr>
            </w:pPr>
          </w:p>
          <w:p w:rsidR="00C360D8" w:rsidRPr="00C360D8" w:rsidRDefault="00C360D8" w:rsidP="00C360D8">
            <w:pPr>
              <w:ind w:left="720" w:firstLine="0"/>
              <w:contextualSpacing/>
              <w:rPr>
                <w:szCs w:val="20"/>
              </w:rPr>
            </w:pPr>
          </w:p>
        </w:tc>
      </w:tr>
      <w:tr w:rsidR="00C360D8" w:rsidRPr="00C360D8" w:rsidTr="00350F2C">
        <w:tc>
          <w:tcPr>
            <w:tcW w:w="6507" w:type="dxa"/>
          </w:tcPr>
          <w:p w:rsidR="00C360D8" w:rsidRPr="00C360D8" w:rsidRDefault="00C360D8" w:rsidP="00C360D8">
            <w:pPr>
              <w:ind w:firstLine="0"/>
              <w:rPr>
                <w:b/>
                <w:szCs w:val="20"/>
              </w:rPr>
            </w:pPr>
            <w:r w:rsidRPr="00145C2C">
              <w:rPr>
                <w:b/>
                <w:szCs w:val="20"/>
              </w:rPr>
              <w:t>Semana 15</w:t>
            </w:r>
            <w:r w:rsidRPr="00C360D8">
              <w:rPr>
                <w:b/>
                <w:szCs w:val="20"/>
              </w:rPr>
              <w:t>: Del 18 al 23 de junio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CR"/>
              </w:rPr>
            </w:pPr>
            <w:r w:rsidRPr="00C360D8">
              <w:rPr>
                <w:b/>
                <w:szCs w:val="20"/>
              </w:rPr>
              <w:t xml:space="preserve">Tema </w:t>
            </w:r>
            <w:r w:rsidR="00145C2C" w:rsidRPr="00C360D8">
              <w:rPr>
                <w:b/>
                <w:szCs w:val="20"/>
              </w:rPr>
              <w:t>XII PLANEACION</w:t>
            </w:r>
            <w:r w:rsidRPr="00C360D8">
              <w:rPr>
                <w:b/>
                <w:szCs w:val="20"/>
              </w:rPr>
              <w:t xml:space="preserve"> FINANCIERA</w:t>
            </w:r>
          </w:p>
          <w:p w:rsidR="00C360D8" w:rsidRPr="00C360D8" w:rsidRDefault="00C360D8" w:rsidP="00C360D8">
            <w:pPr>
              <w:numPr>
                <w:ilvl w:val="0"/>
                <w:numId w:val="28"/>
              </w:numPr>
              <w:jc w:val="left"/>
              <w:rPr>
                <w:szCs w:val="20"/>
                <w:lang w:val="es-ES_tradnl"/>
              </w:rPr>
            </w:pPr>
            <w:r w:rsidRPr="00C360D8">
              <w:rPr>
                <w:szCs w:val="20"/>
                <w:lang w:val="es-ES_tradnl"/>
              </w:rPr>
              <w:t>El proceso de planeación financiera</w:t>
            </w:r>
          </w:p>
          <w:p w:rsidR="00C360D8" w:rsidRPr="00C360D8" w:rsidRDefault="00C360D8" w:rsidP="00C360D8">
            <w:pPr>
              <w:numPr>
                <w:ilvl w:val="0"/>
                <w:numId w:val="28"/>
              </w:numPr>
              <w:jc w:val="left"/>
              <w:rPr>
                <w:szCs w:val="20"/>
                <w:lang w:val="es-ES_tradnl"/>
              </w:rPr>
            </w:pPr>
            <w:r w:rsidRPr="00C360D8">
              <w:rPr>
                <w:szCs w:val="20"/>
                <w:lang w:val="es-ES_tradnl"/>
              </w:rPr>
              <w:t>Planeación del flujo de caja</w:t>
            </w:r>
          </w:p>
          <w:p w:rsidR="00C360D8" w:rsidRPr="00C360D8" w:rsidRDefault="00C360D8" w:rsidP="00C360D8">
            <w:pPr>
              <w:numPr>
                <w:ilvl w:val="0"/>
                <w:numId w:val="28"/>
              </w:numPr>
              <w:jc w:val="left"/>
              <w:rPr>
                <w:szCs w:val="20"/>
                <w:lang w:val="es-ES_tradnl"/>
              </w:rPr>
            </w:pPr>
            <w:r w:rsidRPr="00C360D8">
              <w:rPr>
                <w:szCs w:val="20"/>
                <w:lang w:val="es-ES_tradnl"/>
              </w:rPr>
              <w:t xml:space="preserve">Diferencia entre costos y gastos </w:t>
            </w:r>
          </w:p>
          <w:p w:rsidR="00C360D8" w:rsidRPr="00C360D8" w:rsidRDefault="00C360D8" w:rsidP="00C360D8">
            <w:pPr>
              <w:numPr>
                <w:ilvl w:val="0"/>
                <w:numId w:val="28"/>
              </w:numPr>
              <w:jc w:val="left"/>
              <w:rPr>
                <w:szCs w:val="20"/>
                <w:lang w:val="es-ES_tradnl"/>
              </w:rPr>
            </w:pPr>
            <w:r w:rsidRPr="00C360D8">
              <w:rPr>
                <w:szCs w:val="20"/>
                <w:lang w:val="es-ES_tradnl"/>
              </w:rPr>
              <w:t>Preparación de estado de resultados proyectados</w:t>
            </w:r>
          </w:p>
          <w:p w:rsidR="00C360D8" w:rsidRPr="00C360D8" w:rsidRDefault="00C360D8" w:rsidP="00C360D8">
            <w:pPr>
              <w:numPr>
                <w:ilvl w:val="0"/>
                <w:numId w:val="28"/>
              </w:numPr>
              <w:jc w:val="left"/>
              <w:rPr>
                <w:szCs w:val="20"/>
                <w:lang w:val="es-ES_tradnl"/>
              </w:rPr>
            </w:pPr>
            <w:r w:rsidRPr="00C360D8">
              <w:rPr>
                <w:szCs w:val="20"/>
                <w:lang w:val="es-ES_tradnl"/>
              </w:rPr>
              <w:t>Costos variables y fijos</w:t>
            </w:r>
          </w:p>
          <w:p w:rsidR="00C360D8" w:rsidRPr="00C360D8" w:rsidRDefault="00C360D8" w:rsidP="00C360D8">
            <w:pPr>
              <w:numPr>
                <w:ilvl w:val="0"/>
                <w:numId w:val="28"/>
              </w:numPr>
              <w:jc w:val="left"/>
              <w:rPr>
                <w:szCs w:val="20"/>
                <w:lang w:val="es-ES_tradnl"/>
              </w:rPr>
            </w:pPr>
            <w:r w:rsidRPr="00C360D8">
              <w:rPr>
                <w:szCs w:val="20"/>
                <w:lang w:val="es-ES_tradnl"/>
              </w:rPr>
              <w:t>Preparación del balance general proyectados</w:t>
            </w:r>
          </w:p>
          <w:p w:rsidR="00C360D8" w:rsidRPr="00C360D8" w:rsidRDefault="00C360D8" w:rsidP="00C360D8">
            <w:pPr>
              <w:ind w:left="360" w:firstLine="0"/>
              <w:jc w:val="left"/>
              <w:rPr>
                <w:b/>
                <w:szCs w:val="20"/>
              </w:rPr>
            </w:pPr>
          </w:p>
        </w:tc>
        <w:tc>
          <w:tcPr>
            <w:tcW w:w="3269" w:type="dxa"/>
          </w:tcPr>
          <w:p w:rsidR="00C360D8" w:rsidRPr="00C360D8" w:rsidRDefault="00C360D8" w:rsidP="00C360D8">
            <w:pPr>
              <w:ind w:firstLine="0"/>
              <w:rPr>
                <w:rFonts w:cs="Times New Roman"/>
                <w:b/>
                <w:szCs w:val="20"/>
                <w:lang w:val="es-CR"/>
              </w:rPr>
            </w:pPr>
            <w:r w:rsidRPr="00C360D8">
              <w:rPr>
                <w:b/>
                <w:szCs w:val="20"/>
              </w:rPr>
              <w:t>Lectura recomendada:</w:t>
            </w:r>
          </w:p>
          <w:p w:rsidR="00C360D8" w:rsidRPr="00C360D8" w:rsidRDefault="00C360D8" w:rsidP="00C360D8">
            <w:pPr>
              <w:ind w:firstLine="0"/>
              <w:rPr>
                <w:szCs w:val="20"/>
              </w:rPr>
            </w:pPr>
            <w:r w:rsidRPr="00C360D8">
              <w:rPr>
                <w:szCs w:val="20"/>
              </w:rPr>
              <w:t>Capítulos N.3. Gitman, Lawrence J. (2007). Principios de Administración Financiera. México. Pearson</w:t>
            </w:r>
          </w:p>
          <w:p w:rsidR="00C360D8" w:rsidRPr="00C360D8" w:rsidRDefault="00C360D8" w:rsidP="00C360D8">
            <w:pPr>
              <w:ind w:firstLine="0"/>
              <w:rPr>
                <w:szCs w:val="20"/>
              </w:rPr>
            </w:pPr>
            <w:r w:rsidRPr="00C360D8">
              <w:rPr>
                <w:szCs w:val="20"/>
              </w:rPr>
              <w:t xml:space="preserve">Capítulo N.9, Salas, </w:t>
            </w:r>
            <w:r w:rsidR="00145C2C" w:rsidRPr="00C360D8">
              <w:rPr>
                <w:szCs w:val="20"/>
              </w:rPr>
              <w:t>Tarsicio</w:t>
            </w:r>
            <w:r w:rsidRPr="00C360D8">
              <w:rPr>
                <w:szCs w:val="20"/>
              </w:rPr>
              <w:t>. (2016), Análisis y Diagnóstico Financiero, Costa Rica, Guayacán.</w:t>
            </w:r>
          </w:p>
        </w:tc>
      </w:tr>
      <w:tr w:rsidR="00C360D8" w:rsidRPr="00C360D8" w:rsidTr="00350F2C">
        <w:tc>
          <w:tcPr>
            <w:tcW w:w="6507" w:type="dxa"/>
          </w:tcPr>
          <w:p w:rsidR="00C360D8" w:rsidRPr="00C360D8" w:rsidRDefault="00C360D8" w:rsidP="00C360D8">
            <w:pPr>
              <w:rPr>
                <w:b/>
                <w:szCs w:val="20"/>
              </w:rPr>
            </w:pPr>
            <w:r w:rsidRPr="00C360D8">
              <w:rPr>
                <w:b/>
                <w:szCs w:val="20"/>
              </w:rPr>
              <w:t>Semana 16</w:t>
            </w:r>
            <w:r w:rsidRPr="00C360D8">
              <w:rPr>
                <w:szCs w:val="20"/>
              </w:rPr>
              <w:t xml:space="preserve">: </w:t>
            </w:r>
            <w:r w:rsidRPr="00145C2C">
              <w:rPr>
                <w:b/>
                <w:szCs w:val="20"/>
              </w:rPr>
              <w:t>Del 25 de junio al 30 de julio del 2017</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ES_tradnl"/>
              </w:rPr>
            </w:pPr>
            <w:r w:rsidRPr="00C360D8">
              <w:rPr>
                <w:b/>
                <w:szCs w:val="20"/>
                <w:lang w:val="es-ES_tradnl"/>
              </w:rPr>
              <w:t>TEMA XIII. DECISIONES FINANCIERAS A CORTO PLAZO</w:t>
            </w:r>
          </w:p>
          <w:p w:rsidR="00C360D8" w:rsidRPr="00C360D8" w:rsidRDefault="00C360D8" w:rsidP="00C360D8">
            <w:pPr>
              <w:numPr>
                <w:ilvl w:val="0"/>
                <w:numId w:val="29"/>
              </w:numPr>
              <w:jc w:val="left"/>
              <w:rPr>
                <w:szCs w:val="20"/>
                <w:lang w:val="es-ES_tradnl"/>
              </w:rPr>
            </w:pPr>
            <w:r w:rsidRPr="00C360D8">
              <w:rPr>
                <w:szCs w:val="20"/>
                <w:lang w:val="es-ES_tradnl"/>
              </w:rPr>
              <w:t>Fundamentos del capital de trabajo</w:t>
            </w:r>
          </w:p>
          <w:p w:rsidR="00C360D8" w:rsidRPr="00C360D8" w:rsidRDefault="00C360D8" w:rsidP="00C360D8">
            <w:pPr>
              <w:numPr>
                <w:ilvl w:val="0"/>
                <w:numId w:val="29"/>
              </w:numPr>
              <w:jc w:val="left"/>
              <w:rPr>
                <w:szCs w:val="20"/>
                <w:lang w:val="es-ES_tradnl"/>
              </w:rPr>
            </w:pPr>
            <w:r w:rsidRPr="00C360D8">
              <w:rPr>
                <w:szCs w:val="20"/>
                <w:lang w:val="es-ES_tradnl"/>
              </w:rPr>
              <w:t>Ciclo de conversión del efectivo</w:t>
            </w:r>
          </w:p>
          <w:p w:rsidR="00C360D8" w:rsidRPr="00C360D8" w:rsidRDefault="00C360D8" w:rsidP="00C360D8">
            <w:pPr>
              <w:numPr>
                <w:ilvl w:val="0"/>
                <w:numId w:val="29"/>
              </w:numPr>
              <w:jc w:val="left"/>
              <w:rPr>
                <w:szCs w:val="20"/>
                <w:lang w:val="es-ES_tradnl"/>
              </w:rPr>
            </w:pPr>
            <w:r w:rsidRPr="00C360D8">
              <w:rPr>
                <w:szCs w:val="20"/>
                <w:lang w:val="es-ES_tradnl"/>
              </w:rPr>
              <w:t>Administración de Cuentas por cobrar e inventarios</w:t>
            </w:r>
          </w:p>
          <w:p w:rsidR="00C360D8" w:rsidRPr="00C360D8" w:rsidRDefault="00C360D8" w:rsidP="00C360D8">
            <w:pPr>
              <w:numPr>
                <w:ilvl w:val="0"/>
                <w:numId w:val="29"/>
              </w:numPr>
              <w:jc w:val="left"/>
              <w:rPr>
                <w:szCs w:val="20"/>
                <w:lang w:val="es-ES_tradnl"/>
              </w:rPr>
            </w:pPr>
            <w:r w:rsidRPr="00C360D8">
              <w:rPr>
                <w:szCs w:val="20"/>
                <w:lang w:val="es-ES_tradnl"/>
              </w:rPr>
              <w:t>Fuentes de financiamiento a corto plazo</w:t>
            </w:r>
          </w:p>
          <w:p w:rsidR="00C360D8" w:rsidRPr="00C360D8" w:rsidRDefault="00C360D8" w:rsidP="00C360D8">
            <w:pPr>
              <w:ind w:firstLine="0"/>
              <w:rPr>
                <w:rFonts w:cs="Arial"/>
                <w:b/>
                <w:szCs w:val="20"/>
              </w:rPr>
            </w:pPr>
          </w:p>
        </w:tc>
        <w:tc>
          <w:tcPr>
            <w:tcW w:w="3269" w:type="dxa"/>
          </w:tcPr>
          <w:p w:rsidR="00C360D8" w:rsidRPr="00C360D8" w:rsidRDefault="00C360D8" w:rsidP="00C360D8">
            <w:pPr>
              <w:ind w:firstLine="189"/>
              <w:outlineLvl w:val="0"/>
              <w:rPr>
                <w:b/>
                <w:szCs w:val="20"/>
              </w:rPr>
            </w:pPr>
            <w:r w:rsidRPr="00C360D8">
              <w:rPr>
                <w:b/>
                <w:szCs w:val="20"/>
              </w:rPr>
              <w:t>Lecturas recomendadas</w:t>
            </w:r>
          </w:p>
          <w:p w:rsidR="00C360D8" w:rsidRPr="00C360D8" w:rsidRDefault="00C360D8" w:rsidP="00C360D8">
            <w:pPr>
              <w:ind w:firstLine="0"/>
              <w:rPr>
                <w:szCs w:val="20"/>
              </w:rPr>
            </w:pPr>
            <w:r w:rsidRPr="00C360D8">
              <w:rPr>
                <w:szCs w:val="20"/>
              </w:rPr>
              <w:t>Capítulo N.13, Gitman, Lawrence J. (2007). Principios de Administración Financiera. México. Pearson</w:t>
            </w:r>
          </w:p>
          <w:p w:rsidR="00350F2C" w:rsidRDefault="00350F2C" w:rsidP="00C360D8">
            <w:pPr>
              <w:ind w:firstLine="0"/>
              <w:rPr>
                <w:szCs w:val="20"/>
              </w:rPr>
            </w:pPr>
          </w:p>
          <w:p w:rsidR="00C360D8" w:rsidRPr="00C360D8" w:rsidRDefault="00C360D8" w:rsidP="00C360D8">
            <w:pPr>
              <w:ind w:firstLine="0"/>
              <w:rPr>
                <w:b/>
                <w:szCs w:val="20"/>
              </w:rPr>
            </w:pPr>
            <w:r w:rsidRPr="00C360D8">
              <w:rPr>
                <w:szCs w:val="20"/>
              </w:rPr>
              <w:t xml:space="preserve">Capítulo N. 8, Salas, </w:t>
            </w:r>
            <w:r w:rsidR="00145C2C" w:rsidRPr="00C360D8">
              <w:rPr>
                <w:szCs w:val="20"/>
              </w:rPr>
              <w:t>Tarsicio.,</w:t>
            </w:r>
            <w:r w:rsidRPr="00C360D8">
              <w:rPr>
                <w:szCs w:val="20"/>
              </w:rPr>
              <w:t xml:space="preserve"> (2016), Análisis y Diagnóstico Financiero, Costa Rica, Guayacán.</w:t>
            </w:r>
          </w:p>
        </w:tc>
      </w:tr>
      <w:tr w:rsidR="00C360D8" w:rsidRPr="00C360D8" w:rsidTr="00350F2C">
        <w:tc>
          <w:tcPr>
            <w:tcW w:w="6507" w:type="dxa"/>
          </w:tcPr>
          <w:p w:rsidR="00C360D8" w:rsidRPr="00C360D8" w:rsidRDefault="00C360D8" w:rsidP="00C360D8">
            <w:pPr>
              <w:ind w:firstLine="0"/>
              <w:rPr>
                <w:szCs w:val="20"/>
              </w:rPr>
            </w:pPr>
            <w:r w:rsidRPr="00145C2C">
              <w:rPr>
                <w:b/>
                <w:szCs w:val="20"/>
              </w:rPr>
              <w:t>Semana 17: Del 02 al 07 de julio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rPr>
                <w:rFonts w:cs="Times New Roman"/>
                <w:b/>
                <w:szCs w:val="20"/>
                <w:lang w:val="es-CR"/>
              </w:rPr>
            </w:pPr>
            <w:r w:rsidRPr="00C360D8">
              <w:rPr>
                <w:b/>
                <w:szCs w:val="20"/>
              </w:rPr>
              <w:t>ENTREGA DE TRABAJO INDIVIDUAL ESPECIAL SOBRE ANÁLISIS FINANCIERO</w:t>
            </w:r>
          </w:p>
          <w:p w:rsidR="00C360D8" w:rsidRPr="00C360D8" w:rsidRDefault="00C360D8" w:rsidP="00C360D8">
            <w:pPr>
              <w:ind w:firstLine="0"/>
              <w:rPr>
                <w:rFonts w:cs="Arial"/>
                <w:b/>
                <w:szCs w:val="20"/>
              </w:rPr>
            </w:pPr>
          </w:p>
        </w:tc>
        <w:tc>
          <w:tcPr>
            <w:tcW w:w="3269" w:type="dxa"/>
          </w:tcPr>
          <w:p w:rsidR="00C360D8" w:rsidRPr="00C360D8" w:rsidRDefault="00C360D8" w:rsidP="00C360D8">
            <w:pPr>
              <w:ind w:left="720" w:firstLine="0"/>
              <w:contextualSpacing/>
              <w:rPr>
                <w:szCs w:val="20"/>
              </w:rPr>
            </w:pPr>
          </w:p>
        </w:tc>
      </w:tr>
      <w:tr w:rsidR="00C360D8" w:rsidRPr="00C360D8" w:rsidTr="00350F2C">
        <w:tc>
          <w:tcPr>
            <w:tcW w:w="6507" w:type="dxa"/>
          </w:tcPr>
          <w:p w:rsidR="00C360D8" w:rsidRPr="00145C2C" w:rsidRDefault="00C360D8" w:rsidP="00C360D8">
            <w:pPr>
              <w:ind w:firstLine="0"/>
              <w:rPr>
                <w:szCs w:val="20"/>
              </w:rPr>
            </w:pPr>
            <w:r w:rsidRPr="00145C2C">
              <w:rPr>
                <w:b/>
                <w:szCs w:val="20"/>
              </w:rPr>
              <w:t>Semana 18: Del 09 al 14 julio del 2018</w:t>
            </w:r>
          </w:p>
        </w:tc>
        <w:tc>
          <w:tcPr>
            <w:tcW w:w="3269" w:type="dxa"/>
          </w:tcPr>
          <w:p w:rsidR="00C360D8" w:rsidRPr="00C360D8" w:rsidRDefault="00C360D8" w:rsidP="00C360D8">
            <w:pPr>
              <w:rPr>
                <w:szCs w:val="20"/>
              </w:rPr>
            </w:pPr>
          </w:p>
        </w:tc>
      </w:tr>
      <w:tr w:rsidR="00C360D8" w:rsidRPr="00C360D8" w:rsidTr="00350F2C">
        <w:tc>
          <w:tcPr>
            <w:tcW w:w="6507" w:type="dxa"/>
          </w:tcPr>
          <w:p w:rsidR="00C360D8" w:rsidRPr="00C360D8" w:rsidRDefault="00C360D8" w:rsidP="00C360D8">
            <w:pPr>
              <w:ind w:firstLine="0"/>
              <w:outlineLvl w:val="1"/>
              <w:rPr>
                <w:rFonts w:cs="Times New Roman"/>
                <w:b/>
                <w:color w:val="auto"/>
                <w:szCs w:val="20"/>
                <w:lang w:val="es-CR"/>
              </w:rPr>
            </w:pPr>
            <w:r w:rsidRPr="00C360D8">
              <w:rPr>
                <w:b/>
                <w:color w:val="auto"/>
                <w:szCs w:val="20"/>
              </w:rPr>
              <w:t>Práctica tercer examen parcial del curso.</w:t>
            </w:r>
          </w:p>
          <w:p w:rsidR="00C360D8" w:rsidRPr="00C360D8" w:rsidRDefault="00C360D8" w:rsidP="00C360D8">
            <w:pPr>
              <w:ind w:firstLine="0"/>
              <w:rPr>
                <w:rFonts w:cs="Times New Roman"/>
                <w:b/>
                <w:szCs w:val="20"/>
                <w:lang w:val="es-CR"/>
              </w:rPr>
            </w:pPr>
            <w:r w:rsidRPr="00C360D8">
              <w:rPr>
                <w:b/>
                <w:szCs w:val="20"/>
              </w:rPr>
              <w:lastRenderedPageBreak/>
              <w:t>III EXAMEN PARCIAL</w:t>
            </w:r>
          </w:p>
          <w:p w:rsidR="00C360D8" w:rsidRPr="00145C2C" w:rsidRDefault="00C360D8" w:rsidP="00C360D8">
            <w:pPr>
              <w:ind w:firstLine="0"/>
              <w:rPr>
                <w:b/>
                <w:szCs w:val="20"/>
              </w:rPr>
            </w:pPr>
          </w:p>
        </w:tc>
        <w:tc>
          <w:tcPr>
            <w:tcW w:w="3269" w:type="dxa"/>
          </w:tcPr>
          <w:p w:rsidR="00C360D8" w:rsidRPr="00C360D8" w:rsidRDefault="00C360D8" w:rsidP="00C360D8">
            <w:pPr>
              <w:outlineLvl w:val="0"/>
              <w:rPr>
                <w:rFonts w:cs="Times New Roman"/>
                <w:b/>
                <w:szCs w:val="20"/>
                <w:lang w:val="es-CR"/>
              </w:rPr>
            </w:pPr>
            <w:r w:rsidRPr="00C360D8">
              <w:rPr>
                <w:b/>
                <w:szCs w:val="20"/>
              </w:rPr>
              <w:lastRenderedPageBreak/>
              <w:t>Tercer parcial,</w:t>
            </w:r>
            <w:r w:rsidR="006A7658" w:rsidRPr="00145C2C">
              <w:rPr>
                <w:b/>
                <w:szCs w:val="20"/>
              </w:rPr>
              <w:t xml:space="preserve"> </w:t>
            </w:r>
            <w:r w:rsidRPr="00C360D8">
              <w:rPr>
                <w:b/>
                <w:szCs w:val="20"/>
              </w:rPr>
              <w:t xml:space="preserve">temas </w:t>
            </w:r>
            <w:r w:rsidRPr="00C360D8">
              <w:rPr>
                <w:b/>
                <w:szCs w:val="20"/>
              </w:rPr>
              <w:lastRenderedPageBreak/>
              <w:t>10, 11, 12 y 13 (Examen colegiado, sábado 14 de Julio del 2018, hora: 13:00).</w:t>
            </w:r>
          </w:p>
          <w:p w:rsidR="00C360D8" w:rsidRPr="00C360D8" w:rsidRDefault="00C360D8" w:rsidP="00C360D8">
            <w:pPr>
              <w:outlineLvl w:val="0"/>
              <w:rPr>
                <w:szCs w:val="20"/>
              </w:rPr>
            </w:pPr>
          </w:p>
        </w:tc>
      </w:tr>
      <w:tr w:rsidR="00C360D8" w:rsidRPr="00C360D8" w:rsidTr="00350F2C">
        <w:tc>
          <w:tcPr>
            <w:tcW w:w="6507" w:type="dxa"/>
          </w:tcPr>
          <w:p w:rsidR="00C360D8" w:rsidRPr="00C360D8" w:rsidRDefault="00C360D8" w:rsidP="00C360D8">
            <w:pPr>
              <w:ind w:firstLine="0"/>
              <w:rPr>
                <w:szCs w:val="20"/>
              </w:rPr>
            </w:pPr>
            <w:r w:rsidRPr="00145C2C">
              <w:rPr>
                <w:b/>
                <w:szCs w:val="20"/>
              </w:rPr>
              <w:lastRenderedPageBreak/>
              <w:t>Semana 19: Del 16 al 21 de julio del 2018</w:t>
            </w:r>
          </w:p>
        </w:tc>
        <w:tc>
          <w:tcPr>
            <w:tcW w:w="3269" w:type="dxa"/>
          </w:tcPr>
          <w:p w:rsidR="00C360D8" w:rsidRPr="00C360D8" w:rsidRDefault="00C360D8" w:rsidP="00C360D8">
            <w:pPr>
              <w:outlineLvl w:val="0"/>
              <w:rPr>
                <w:b/>
                <w:szCs w:val="20"/>
              </w:rPr>
            </w:pPr>
          </w:p>
        </w:tc>
      </w:tr>
      <w:tr w:rsidR="00C360D8" w:rsidRPr="00C360D8" w:rsidTr="00350F2C">
        <w:tc>
          <w:tcPr>
            <w:tcW w:w="6507" w:type="dxa"/>
          </w:tcPr>
          <w:p w:rsidR="00C360D8" w:rsidRPr="00C360D8" w:rsidRDefault="00C360D8" w:rsidP="00C360D8">
            <w:pPr>
              <w:ind w:firstLine="0"/>
              <w:rPr>
                <w:rFonts w:cs="Times New Roman"/>
                <w:b/>
                <w:szCs w:val="20"/>
                <w:lang w:val="es-CR"/>
              </w:rPr>
            </w:pPr>
            <w:r w:rsidRPr="00C360D8">
              <w:rPr>
                <w:b/>
                <w:szCs w:val="20"/>
              </w:rPr>
              <w:t>EXÁMEN DE REPOSICIÓN</w:t>
            </w:r>
          </w:p>
          <w:p w:rsidR="00C360D8" w:rsidRPr="00C360D8" w:rsidRDefault="00C360D8" w:rsidP="00C360D8">
            <w:pPr>
              <w:ind w:firstLine="0"/>
              <w:rPr>
                <w:szCs w:val="20"/>
              </w:rPr>
            </w:pPr>
          </w:p>
        </w:tc>
        <w:tc>
          <w:tcPr>
            <w:tcW w:w="3269" w:type="dxa"/>
          </w:tcPr>
          <w:p w:rsidR="00C360D8" w:rsidRPr="00C360D8" w:rsidRDefault="00C360D8" w:rsidP="00C360D8">
            <w:pPr>
              <w:outlineLvl w:val="0"/>
              <w:rPr>
                <w:b/>
                <w:szCs w:val="20"/>
              </w:rPr>
            </w:pPr>
          </w:p>
        </w:tc>
      </w:tr>
      <w:tr w:rsidR="00C360D8" w:rsidRPr="00C360D8" w:rsidTr="00350F2C">
        <w:trPr>
          <w:trHeight w:val="70"/>
        </w:trPr>
        <w:tc>
          <w:tcPr>
            <w:tcW w:w="6507" w:type="dxa"/>
          </w:tcPr>
          <w:p w:rsidR="00C360D8" w:rsidRPr="00145C2C" w:rsidRDefault="00C360D8" w:rsidP="00C360D8">
            <w:pPr>
              <w:ind w:firstLine="0"/>
              <w:rPr>
                <w:b/>
                <w:szCs w:val="20"/>
              </w:rPr>
            </w:pPr>
          </w:p>
        </w:tc>
        <w:tc>
          <w:tcPr>
            <w:tcW w:w="3269" w:type="dxa"/>
          </w:tcPr>
          <w:p w:rsidR="00C360D8" w:rsidRPr="00C360D8" w:rsidRDefault="00C360D8" w:rsidP="00C360D8">
            <w:pPr>
              <w:rPr>
                <w:szCs w:val="20"/>
              </w:rPr>
            </w:pPr>
          </w:p>
        </w:tc>
      </w:tr>
    </w:tbl>
    <w:p w:rsidR="00B92BE4" w:rsidRPr="00145C2C" w:rsidRDefault="00B92BE4">
      <w:pPr>
        <w:pStyle w:val="Encabezado1"/>
        <w:shd w:val="clear" w:color="auto" w:fill="DBE5F1"/>
        <w:rPr>
          <w:sz w:val="20"/>
          <w:szCs w:val="20"/>
        </w:rPr>
      </w:pPr>
    </w:p>
    <w:p w:rsidR="00783DB4" w:rsidRPr="00145C2C" w:rsidRDefault="000C5F98">
      <w:pPr>
        <w:pStyle w:val="Encabezado1"/>
        <w:shd w:val="clear" w:color="auto" w:fill="DBE5F1"/>
        <w:rPr>
          <w:sz w:val="20"/>
          <w:szCs w:val="20"/>
        </w:rPr>
      </w:pPr>
      <w:r w:rsidRPr="00145C2C">
        <w:rPr>
          <w:sz w:val="20"/>
          <w:szCs w:val="20"/>
        </w:rPr>
        <w:t>DOCENTES</w:t>
      </w:r>
    </w:p>
    <w:p w:rsidR="0033528A" w:rsidRPr="00145C2C" w:rsidRDefault="0033528A" w:rsidP="0033528A">
      <w:pPr>
        <w:spacing w:after="120"/>
        <w:rPr>
          <w:rFonts w:cs="Verdana"/>
          <w:b/>
          <w:szCs w:val="20"/>
        </w:rPr>
      </w:pPr>
      <w:r w:rsidRPr="00145C2C">
        <w:rPr>
          <w:rFonts w:cs="Verdana"/>
          <w:b/>
          <w:szCs w:val="20"/>
        </w:rPr>
        <w:t>Sede de Occidente:</w:t>
      </w:r>
    </w:p>
    <w:p w:rsidR="006A7658" w:rsidRPr="00145C2C" w:rsidRDefault="006A7658" w:rsidP="006A7658">
      <w:pPr>
        <w:rPr>
          <w:szCs w:val="20"/>
        </w:rPr>
      </w:pPr>
      <w:r w:rsidRPr="00145C2C">
        <w:rPr>
          <w:szCs w:val="20"/>
        </w:rPr>
        <w:t>Nombre:</w:t>
      </w:r>
      <w:r w:rsidRPr="00145C2C">
        <w:rPr>
          <w:b/>
          <w:i/>
          <w:szCs w:val="20"/>
        </w:rPr>
        <w:t xml:space="preserve"> Licda. Martha Elena Rojas Rojas</w:t>
      </w:r>
    </w:p>
    <w:p w:rsidR="006A7658" w:rsidRPr="00145C2C" w:rsidRDefault="006A7658" w:rsidP="006A7658">
      <w:pPr>
        <w:rPr>
          <w:szCs w:val="20"/>
        </w:rPr>
      </w:pPr>
      <w:r w:rsidRPr="00145C2C">
        <w:rPr>
          <w:szCs w:val="20"/>
        </w:rPr>
        <w:t xml:space="preserve">Teléfonos: 8822-6281     </w:t>
      </w:r>
    </w:p>
    <w:p w:rsidR="006A7658" w:rsidRPr="00145C2C" w:rsidRDefault="006A7658" w:rsidP="006A7658">
      <w:pPr>
        <w:rPr>
          <w:szCs w:val="20"/>
        </w:rPr>
      </w:pPr>
      <w:r w:rsidRPr="00145C2C">
        <w:rPr>
          <w:szCs w:val="20"/>
        </w:rPr>
        <w:t>Correo electrónico:  merojasr.7@gmail.com</w:t>
      </w:r>
    </w:p>
    <w:p w:rsidR="006A7658" w:rsidRPr="00145C2C" w:rsidRDefault="006A7658" w:rsidP="006A7658">
      <w:pPr>
        <w:rPr>
          <w:szCs w:val="20"/>
        </w:rPr>
      </w:pPr>
    </w:p>
    <w:p w:rsidR="006A7658" w:rsidRPr="00145C2C" w:rsidRDefault="006A7658" w:rsidP="006A7658">
      <w:pPr>
        <w:rPr>
          <w:b/>
          <w:i/>
          <w:szCs w:val="20"/>
        </w:rPr>
      </w:pPr>
      <w:r w:rsidRPr="00145C2C">
        <w:rPr>
          <w:b/>
          <w:i/>
          <w:szCs w:val="20"/>
        </w:rPr>
        <w:t>Perfil profesional y académico del profesor.</w:t>
      </w:r>
    </w:p>
    <w:p w:rsidR="006A7658" w:rsidRPr="00145C2C" w:rsidRDefault="006A7658" w:rsidP="006A7658">
      <w:pPr>
        <w:rPr>
          <w:szCs w:val="20"/>
        </w:rPr>
      </w:pPr>
    </w:p>
    <w:p w:rsidR="006A7658" w:rsidRPr="00145C2C" w:rsidRDefault="006A7658" w:rsidP="00F41269">
      <w:pPr>
        <w:ind w:left="284" w:firstLine="0"/>
        <w:rPr>
          <w:szCs w:val="20"/>
        </w:rPr>
      </w:pPr>
      <w:r w:rsidRPr="00145C2C">
        <w:rPr>
          <w:b/>
          <w:i/>
          <w:szCs w:val="20"/>
        </w:rPr>
        <w:t>Formación Académica:</w:t>
      </w:r>
      <w:r w:rsidRPr="00145C2C">
        <w:rPr>
          <w:b/>
          <w:szCs w:val="20"/>
        </w:rPr>
        <w:t xml:space="preserve"> </w:t>
      </w:r>
      <w:r w:rsidRPr="00145C2C">
        <w:rPr>
          <w:szCs w:val="20"/>
        </w:rPr>
        <w:t xml:space="preserve">Facultad de Ciencias Económicas, Escuela de Administración de Negocios, Universidad de Costa Rica. </w:t>
      </w:r>
    </w:p>
    <w:p w:rsidR="006A7658" w:rsidRPr="00145C2C" w:rsidRDefault="006A7658" w:rsidP="006A7658">
      <w:pPr>
        <w:rPr>
          <w:szCs w:val="20"/>
        </w:rPr>
      </w:pPr>
    </w:p>
    <w:p w:rsidR="006A7658" w:rsidRPr="00145C2C" w:rsidRDefault="006A7658" w:rsidP="006A7658">
      <w:pPr>
        <w:rPr>
          <w:szCs w:val="20"/>
        </w:rPr>
      </w:pPr>
      <w:r w:rsidRPr="00145C2C">
        <w:rPr>
          <w:b/>
          <w:i/>
          <w:szCs w:val="20"/>
        </w:rPr>
        <w:t>Experiencia Docente:</w:t>
      </w:r>
      <w:r w:rsidRPr="00145C2C">
        <w:rPr>
          <w:szCs w:val="20"/>
        </w:rPr>
        <w:t xml:space="preserve"> Profesor desde 2016, Universidad de Costa Rica</w:t>
      </w:r>
    </w:p>
    <w:p w:rsidR="006A7658" w:rsidRPr="00145C2C" w:rsidRDefault="006A7658" w:rsidP="006A7658">
      <w:pPr>
        <w:rPr>
          <w:szCs w:val="20"/>
        </w:rPr>
      </w:pPr>
    </w:p>
    <w:p w:rsidR="006A7658" w:rsidRPr="00145C2C" w:rsidRDefault="006A7658" w:rsidP="006A7658">
      <w:pPr>
        <w:rPr>
          <w:szCs w:val="20"/>
          <w:highlight w:val="yellow"/>
        </w:rPr>
      </w:pPr>
      <w:r w:rsidRPr="00145C2C">
        <w:rPr>
          <w:b/>
          <w:i/>
          <w:szCs w:val="20"/>
        </w:rPr>
        <w:t>Experiencia Profesional:</w:t>
      </w:r>
      <w:r w:rsidRPr="00145C2C">
        <w:rPr>
          <w:szCs w:val="20"/>
        </w:rPr>
        <w:t xml:space="preserve"> Incorporado al Colegio de Ciencias Económicas, 16 años de ejercicio profesional en Contratación Administrativa, Control Interno, Administración, Contabilidad y Finanzas en Instituto Nacional de Aprendizaje.</w:t>
      </w:r>
      <w:r w:rsidRPr="00145C2C">
        <w:rPr>
          <w:szCs w:val="20"/>
          <w:highlight w:val="yellow"/>
        </w:rPr>
        <w:t xml:space="preserve"> </w:t>
      </w:r>
    </w:p>
    <w:p w:rsidR="00783DB4" w:rsidRPr="00145C2C" w:rsidRDefault="00783DB4">
      <w:pPr>
        <w:rPr>
          <w:szCs w:val="20"/>
          <w:lang w:val="es-CR"/>
        </w:rPr>
      </w:pPr>
    </w:p>
    <w:p w:rsidR="00783DB4" w:rsidRPr="00145C2C" w:rsidRDefault="00697402">
      <w:pPr>
        <w:pStyle w:val="Encabezado1"/>
        <w:shd w:val="clear" w:color="auto" w:fill="DBE5F1"/>
        <w:rPr>
          <w:sz w:val="20"/>
          <w:szCs w:val="20"/>
        </w:rPr>
      </w:pPr>
      <w:r w:rsidRPr="00145C2C">
        <w:rPr>
          <w:sz w:val="20"/>
          <w:szCs w:val="20"/>
        </w:rPr>
        <w:t>METODOLOGÍA DE LA ENSEÑANZA/APRENDIZAJE</w:t>
      </w:r>
    </w:p>
    <w:p w:rsidR="00783DB4" w:rsidRPr="00145C2C" w:rsidRDefault="00783DB4">
      <w:pPr>
        <w:ind w:firstLine="0"/>
        <w:rPr>
          <w:szCs w:val="20"/>
        </w:rPr>
      </w:pPr>
    </w:p>
    <w:p w:rsidR="00783DB4" w:rsidRPr="00145C2C" w:rsidRDefault="00697402">
      <w:pPr>
        <w:rPr>
          <w:szCs w:val="20"/>
          <w:lang w:val="es-MX"/>
        </w:rPr>
      </w:pPr>
      <w:r w:rsidRPr="00AB46C0">
        <w:rPr>
          <w:szCs w:val="20"/>
          <w:lang w:val="es-MX"/>
        </w:rPr>
        <w:t>Clases magistrales con el apoyo de equipo multimedia, complementadas</w:t>
      </w:r>
      <w:r w:rsidRPr="00145C2C">
        <w:rPr>
          <w:szCs w:val="20"/>
          <w:lang w:val="es-MX"/>
        </w:rPr>
        <w:t xml:space="preserve"> con la participación y aportes de los estudiantes, ejercicios prácticos y la asignación de tareas para resolver en forma independiente de manera individual.</w:t>
      </w:r>
    </w:p>
    <w:p w:rsidR="00783DB4" w:rsidRPr="00145C2C" w:rsidRDefault="00783DB4">
      <w:pPr>
        <w:ind w:firstLine="0"/>
        <w:rPr>
          <w:szCs w:val="20"/>
        </w:rPr>
      </w:pPr>
    </w:p>
    <w:p w:rsidR="00783DB4" w:rsidRPr="00145C2C" w:rsidRDefault="00697402">
      <w:pPr>
        <w:rPr>
          <w:szCs w:val="20"/>
          <w:lang w:val="es-MX"/>
        </w:rPr>
      </w:pPr>
      <w:r w:rsidRPr="00145C2C">
        <w:rPr>
          <w:szCs w:val="20"/>
          <w:lang w:val="es-MX"/>
        </w:rPr>
        <w:t xml:space="preserve">Durante el curso se incluye la aplicación de conceptos teórico-prácticos sobre indicadores financieros mediante el desarrollo de un trabajo individual para </w:t>
      </w:r>
      <w:r w:rsidRPr="00145C2C">
        <w:rPr>
          <w:szCs w:val="20"/>
        </w:rPr>
        <w:t>considerar la variable económica en la práctica de la Ingeniería. (IE&amp;GP-1 – Ingeniería Económica y Gestión de Proyectos)</w:t>
      </w:r>
    </w:p>
    <w:p w:rsidR="00783DB4" w:rsidRPr="00145C2C" w:rsidRDefault="00783DB4">
      <w:pPr>
        <w:ind w:firstLine="0"/>
        <w:rPr>
          <w:szCs w:val="20"/>
        </w:rPr>
      </w:pPr>
    </w:p>
    <w:p w:rsidR="00783DB4" w:rsidRPr="00145C2C" w:rsidRDefault="00697402">
      <w:pPr>
        <w:pStyle w:val="Encabezado1"/>
        <w:shd w:val="clear" w:color="auto" w:fill="DBE5F1"/>
        <w:rPr>
          <w:sz w:val="20"/>
          <w:szCs w:val="20"/>
        </w:rPr>
      </w:pPr>
      <w:r w:rsidRPr="00145C2C">
        <w:rPr>
          <w:sz w:val="20"/>
          <w:szCs w:val="20"/>
        </w:rPr>
        <w:t>EVALUACIÓN</w:t>
      </w:r>
    </w:p>
    <w:p w:rsidR="00783DB4" w:rsidRPr="00145C2C" w:rsidRDefault="00783DB4">
      <w:pPr>
        <w:rPr>
          <w:szCs w:val="20"/>
        </w:rPr>
      </w:pPr>
    </w:p>
    <w:p w:rsidR="00783DB4" w:rsidRPr="00145C2C" w:rsidRDefault="00697402">
      <w:pPr>
        <w:rPr>
          <w:szCs w:val="20"/>
          <w:lang w:val="es-MX"/>
        </w:rPr>
      </w:pPr>
      <w:r w:rsidRPr="00145C2C">
        <w:rPr>
          <w:szCs w:val="20"/>
          <w:lang w:val="es-MX"/>
        </w:rPr>
        <w:t>Las evaluaciones procuran medir el grado de apropiación tanto en el dominio del conjunto de conocimientos teóricos necesarios que sustentan decisiones de ingeniería, como la aplicación de procedimientos, métodos y técnicas especializadas que requiere el desempeño profesional.</w:t>
      </w:r>
    </w:p>
    <w:p w:rsidR="00783DB4" w:rsidRPr="00145C2C" w:rsidRDefault="00783DB4">
      <w:pPr>
        <w:rPr>
          <w:szCs w:val="20"/>
          <w:lang w:val="es-MX"/>
        </w:rPr>
      </w:pPr>
    </w:p>
    <w:p w:rsidR="00783DB4" w:rsidRPr="00145C2C" w:rsidRDefault="00697402">
      <w:pPr>
        <w:rPr>
          <w:szCs w:val="20"/>
          <w:lang w:val="es-MX"/>
        </w:rPr>
      </w:pPr>
      <w:r w:rsidRPr="00145C2C">
        <w:rPr>
          <w:szCs w:val="20"/>
          <w:lang w:val="es-MX"/>
        </w:rPr>
        <w:t>Los exámenes son de respuesta corta o larga, de ejecución individual y prueban competencias instrumentales del tipo comprensión cognitiva.</w:t>
      </w:r>
    </w:p>
    <w:p w:rsidR="00783DB4" w:rsidRPr="00145C2C" w:rsidRDefault="00783DB4">
      <w:pPr>
        <w:rPr>
          <w:szCs w:val="20"/>
          <w:lang w:val="es-MX"/>
        </w:rPr>
      </w:pPr>
    </w:p>
    <w:p w:rsidR="00783DB4" w:rsidRPr="00145C2C" w:rsidRDefault="00697402">
      <w:pPr>
        <w:rPr>
          <w:szCs w:val="20"/>
          <w:lang w:val="es-MX"/>
        </w:rPr>
      </w:pPr>
      <w:r w:rsidRPr="00145C2C">
        <w:rPr>
          <w:szCs w:val="20"/>
          <w:lang w:val="es-MX"/>
        </w:rPr>
        <w:t>La distribución porcentual es la siguiente:</w:t>
      </w:r>
    </w:p>
    <w:p w:rsidR="00783DB4" w:rsidRPr="00145C2C" w:rsidRDefault="00783DB4">
      <w:pPr>
        <w:rPr>
          <w:szCs w:val="20"/>
          <w:lang w:val="es-MX"/>
        </w:rPr>
      </w:pPr>
    </w:p>
    <w:p w:rsidR="00783DB4" w:rsidRPr="00145C2C" w:rsidRDefault="00783DB4">
      <w:pPr>
        <w:rPr>
          <w:szCs w:val="20"/>
          <w:lang w:val="es-MX"/>
        </w:rPr>
      </w:pPr>
    </w:p>
    <w:tbl>
      <w:tblPr>
        <w:tblW w:w="46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3353"/>
        <w:gridCol w:w="1291"/>
      </w:tblGrid>
      <w:tr w:rsidR="00783DB4" w:rsidRPr="00145C2C">
        <w:trPr>
          <w:trHeight w:val="321"/>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Examen Parcial I</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25%</w:t>
            </w:r>
          </w:p>
        </w:tc>
      </w:tr>
      <w:tr w:rsidR="00783DB4" w:rsidRPr="00145C2C">
        <w:trPr>
          <w:trHeight w:val="327"/>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Examen Parcial II</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tabs>
                <w:tab w:val="center" w:pos="5100"/>
              </w:tabs>
              <w:spacing w:after="120"/>
              <w:rPr>
                <w:rFonts w:cs="Verdana"/>
                <w:szCs w:val="20"/>
              </w:rPr>
            </w:pPr>
            <w:r w:rsidRPr="00145C2C">
              <w:rPr>
                <w:szCs w:val="20"/>
              </w:rPr>
              <w:t>25%</w:t>
            </w:r>
          </w:p>
        </w:tc>
      </w:tr>
      <w:tr w:rsidR="00783DB4" w:rsidRPr="00145C2C">
        <w:trPr>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 xml:space="preserve">Examen Parcial III       </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tabs>
                <w:tab w:val="center" w:pos="5100"/>
              </w:tabs>
              <w:spacing w:after="120"/>
              <w:rPr>
                <w:rFonts w:cs="Verdana"/>
                <w:szCs w:val="20"/>
              </w:rPr>
            </w:pPr>
            <w:r w:rsidRPr="00145C2C">
              <w:rPr>
                <w:szCs w:val="20"/>
              </w:rPr>
              <w:t>25%</w:t>
            </w:r>
          </w:p>
        </w:tc>
      </w:tr>
      <w:tr w:rsidR="00783DB4" w:rsidRPr="00145C2C">
        <w:trPr>
          <w:trHeight w:val="322"/>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Exámenes cortos</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10%</w:t>
            </w:r>
          </w:p>
        </w:tc>
      </w:tr>
      <w:tr w:rsidR="00783DB4" w:rsidRPr="00145C2C">
        <w:trPr>
          <w:trHeight w:val="322"/>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szCs w:val="20"/>
              </w:rPr>
            </w:pPr>
            <w:r w:rsidRPr="00145C2C">
              <w:rPr>
                <w:szCs w:val="20"/>
              </w:rPr>
              <w:t>Tareas</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szCs w:val="20"/>
              </w:rPr>
            </w:pPr>
            <w:r w:rsidRPr="00145C2C">
              <w:rPr>
                <w:szCs w:val="20"/>
              </w:rPr>
              <w:t>5%</w:t>
            </w:r>
          </w:p>
        </w:tc>
      </w:tr>
      <w:tr w:rsidR="00783DB4" w:rsidRPr="00145C2C">
        <w:trPr>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Trabajo especial</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szCs w:val="20"/>
              </w:rPr>
            </w:pPr>
            <w:r w:rsidRPr="00145C2C">
              <w:rPr>
                <w:szCs w:val="20"/>
              </w:rPr>
              <w:t>10%</w:t>
            </w:r>
          </w:p>
        </w:tc>
      </w:tr>
      <w:tr w:rsidR="00783DB4" w:rsidRPr="00145C2C">
        <w:trPr>
          <w:jc w:val="center"/>
        </w:trPr>
        <w:tc>
          <w:tcPr>
            <w:tcW w:w="33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b/>
                <w:bCs/>
                <w:szCs w:val="20"/>
              </w:rPr>
            </w:pPr>
            <w:r w:rsidRPr="00145C2C">
              <w:rPr>
                <w:b/>
                <w:bCs/>
                <w:szCs w:val="20"/>
              </w:rPr>
              <w:t>Total</w:t>
            </w:r>
          </w:p>
        </w:tc>
        <w:tc>
          <w:tcPr>
            <w:tcW w:w="1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83DB4" w:rsidRPr="00145C2C" w:rsidRDefault="00697402">
            <w:pPr>
              <w:spacing w:after="120"/>
              <w:rPr>
                <w:rFonts w:cs="Verdana"/>
                <w:b/>
                <w:bCs/>
                <w:szCs w:val="20"/>
              </w:rPr>
            </w:pPr>
            <w:r w:rsidRPr="00145C2C">
              <w:rPr>
                <w:b/>
                <w:bCs/>
                <w:szCs w:val="20"/>
              </w:rPr>
              <w:t>100%</w:t>
            </w:r>
          </w:p>
        </w:tc>
      </w:tr>
    </w:tbl>
    <w:p w:rsidR="00783DB4" w:rsidRPr="00145C2C" w:rsidRDefault="00783DB4">
      <w:pPr>
        <w:spacing w:after="120"/>
        <w:rPr>
          <w:rFonts w:cs="Verdana"/>
          <w:szCs w:val="20"/>
        </w:rPr>
      </w:pPr>
    </w:p>
    <w:p w:rsidR="00783DB4" w:rsidRPr="00145C2C" w:rsidRDefault="00697402">
      <w:pPr>
        <w:spacing w:after="120"/>
        <w:rPr>
          <w:szCs w:val="20"/>
        </w:rPr>
      </w:pPr>
      <w:r w:rsidRPr="00145C2C">
        <w:rPr>
          <w:b/>
          <w:bCs/>
          <w:szCs w:val="20"/>
        </w:rPr>
        <w:t xml:space="preserve">Exámenes cortos: </w:t>
      </w:r>
      <w:r w:rsidRPr="00145C2C">
        <w:rPr>
          <w:szCs w:val="20"/>
        </w:rPr>
        <w:t>Los exámenes cortos se realizan sin aviso previo, cumpliendo con las disposiciones del Reglamento de Régimen Académico Estudiantil (Artículo 15), cubriendo la materia de forma acumulativa.</w:t>
      </w:r>
    </w:p>
    <w:p w:rsidR="00783DB4" w:rsidRPr="00145C2C" w:rsidRDefault="00697402">
      <w:pPr>
        <w:spacing w:after="120"/>
        <w:rPr>
          <w:szCs w:val="20"/>
        </w:rPr>
      </w:pPr>
      <w:r w:rsidRPr="00145C2C">
        <w:rPr>
          <w:b/>
          <w:bCs/>
          <w:szCs w:val="20"/>
        </w:rPr>
        <w:t>Exámenes parciales:</w:t>
      </w:r>
      <w:r w:rsidRPr="00145C2C">
        <w:rPr>
          <w:szCs w:val="20"/>
        </w:rPr>
        <w:t xml:space="preserve"> se realizarán conforme se indica en el cronograma y con la materia vista hasta una semana antes de la fecha del examen. </w:t>
      </w:r>
    </w:p>
    <w:p w:rsidR="00783DB4" w:rsidRPr="00145C2C" w:rsidRDefault="00783DB4">
      <w:pPr>
        <w:spacing w:after="120"/>
        <w:rPr>
          <w:szCs w:val="20"/>
        </w:rPr>
      </w:pPr>
    </w:p>
    <w:p w:rsidR="00783DB4" w:rsidRPr="00145C2C" w:rsidRDefault="00697402">
      <w:pPr>
        <w:pStyle w:val="Encabezado1"/>
        <w:shd w:val="clear" w:color="auto" w:fill="DBE5F1"/>
        <w:rPr>
          <w:sz w:val="20"/>
          <w:szCs w:val="20"/>
        </w:rPr>
      </w:pPr>
      <w:r w:rsidRPr="00145C2C">
        <w:rPr>
          <w:sz w:val="20"/>
          <w:szCs w:val="20"/>
        </w:rPr>
        <w:t>INFORMACIÓN ADICIONAL DEL CURSO</w:t>
      </w:r>
    </w:p>
    <w:p w:rsidR="00783DB4" w:rsidRPr="00145C2C" w:rsidRDefault="00783DB4">
      <w:pPr>
        <w:pStyle w:val="Textoindependiente2"/>
        <w:spacing w:line="240" w:lineRule="auto"/>
        <w:rPr>
          <w:rFonts w:ascii="Verdana" w:hAnsi="Verdana" w:cs="Verdana"/>
          <w:sz w:val="20"/>
          <w:szCs w:val="20"/>
        </w:rPr>
      </w:pPr>
    </w:p>
    <w:p w:rsidR="00783DB4" w:rsidRPr="00145C2C" w:rsidRDefault="00697402">
      <w:pPr>
        <w:pStyle w:val="Textoindependiente2"/>
        <w:spacing w:line="240" w:lineRule="auto"/>
        <w:rPr>
          <w:rFonts w:ascii="Verdana" w:hAnsi="Verdana" w:cs="Verdana"/>
          <w:sz w:val="20"/>
          <w:szCs w:val="20"/>
        </w:rPr>
      </w:pPr>
      <w:r w:rsidRPr="00145C2C">
        <w:rPr>
          <w:rFonts w:ascii="Verdana" w:hAnsi="Verdana" w:cs="Verdana"/>
          <w:sz w:val="20"/>
          <w:szCs w:val="20"/>
        </w:rPr>
        <w:t xml:space="preserve">Con el propósito de ofrecer un servicio equitativo y accesible a todos los estudiantes, los interesados en ser atendidos de manera </w:t>
      </w:r>
      <w:r w:rsidR="00145C2C" w:rsidRPr="00145C2C">
        <w:rPr>
          <w:rFonts w:ascii="Verdana" w:hAnsi="Verdana" w:cs="Verdana"/>
          <w:sz w:val="20"/>
          <w:szCs w:val="20"/>
        </w:rPr>
        <w:t>presencial</w:t>
      </w:r>
      <w:r w:rsidRPr="00145C2C">
        <w:rPr>
          <w:rFonts w:ascii="Verdana" w:hAnsi="Verdana" w:cs="Verdana"/>
          <w:sz w:val="20"/>
          <w:szCs w:val="20"/>
        </w:rPr>
        <w:t xml:space="preserve"> deberán solicitarlo con al menos 3 días de anticipación.  Para llevar un registro de estas peticiones, los escritos deben enviarse al correo electrónico del profesor o profesora, informando el objetivo de la consulta y el tiempo estimado para lograrlo.  Se asegura el respeto al orden de ingreso de las petitorias, y se atenderán tantas como el tiempo disponible y la demanda lo permita.</w:t>
      </w:r>
    </w:p>
    <w:p w:rsidR="00783DB4" w:rsidRPr="00145C2C" w:rsidRDefault="00783DB4">
      <w:pPr>
        <w:pStyle w:val="Textoindependiente2"/>
        <w:spacing w:line="240" w:lineRule="auto"/>
        <w:rPr>
          <w:rFonts w:ascii="Verdana" w:hAnsi="Verdana" w:cs="Verdana"/>
          <w:sz w:val="20"/>
          <w:szCs w:val="20"/>
        </w:rPr>
      </w:pPr>
    </w:p>
    <w:p w:rsidR="00783DB4" w:rsidRPr="00145C2C" w:rsidRDefault="00783DB4">
      <w:pPr>
        <w:rPr>
          <w:b/>
          <w:szCs w:val="20"/>
        </w:rPr>
      </w:pPr>
    </w:p>
    <w:p w:rsidR="00783DB4" w:rsidRPr="00145C2C" w:rsidRDefault="00697402">
      <w:pPr>
        <w:rPr>
          <w:b/>
          <w:szCs w:val="20"/>
        </w:rPr>
      </w:pPr>
      <w:r w:rsidRPr="00145C2C">
        <w:rPr>
          <w:b/>
          <w:szCs w:val="20"/>
        </w:rPr>
        <w:t xml:space="preserve">Criterios sobre la copia, plagio o la ayuda no permitida en evaluaciones </w:t>
      </w:r>
    </w:p>
    <w:p w:rsidR="00783DB4" w:rsidRPr="00145C2C" w:rsidRDefault="00697402">
      <w:pPr>
        <w:rPr>
          <w:szCs w:val="20"/>
        </w:rPr>
      </w:pPr>
      <w:r w:rsidRPr="00145C2C">
        <w:rPr>
          <w:szCs w:val="20"/>
        </w:rPr>
        <w:t xml:space="preserve">Cualquier alumno que incurra en actos de copia, plagio o ayudas no permitidas a otros en cualquier evaluación o trabajo, automáticamente perderá el curso y se expone a las sanciones reglamentarias que exige la Universidad. </w:t>
      </w:r>
    </w:p>
    <w:p w:rsidR="00783DB4" w:rsidRPr="00145C2C" w:rsidRDefault="00783DB4">
      <w:pPr>
        <w:spacing w:after="120"/>
        <w:rPr>
          <w:szCs w:val="20"/>
        </w:rPr>
      </w:pPr>
    </w:p>
    <w:p w:rsidR="00783DB4" w:rsidRPr="00145C2C" w:rsidRDefault="00697402">
      <w:pPr>
        <w:pStyle w:val="Encabezado1"/>
        <w:shd w:val="clear" w:color="auto" w:fill="DBE5F1"/>
        <w:rPr>
          <w:sz w:val="20"/>
          <w:szCs w:val="20"/>
        </w:rPr>
      </w:pPr>
      <w:r w:rsidRPr="00145C2C">
        <w:rPr>
          <w:sz w:val="20"/>
          <w:szCs w:val="20"/>
        </w:rPr>
        <w:t>BIBLIOGRAFÍA</w:t>
      </w:r>
    </w:p>
    <w:p w:rsidR="00783DB4" w:rsidRPr="00145C2C" w:rsidRDefault="00697402">
      <w:pPr>
        <w:pStyle w:val="Bibliografa"/>
        <w:spacing w:after="240"/>
        <w:ind w:firstLine="0"/>
        <w:rPr>
          <w:rFonts w:cs="TTFFAB61A8t00"/>
          <w:b/>
          <w:szCs w:val="20"/>
          <w:lang w:val="es-CR" w:eastAsia="es-CR"/>
        </w:rPr>
      </w:pPr>
      <w:r w:rsidRPr="00145C2C">
        <w:rPr>
          <w:rFonts w:cs="TTFFAB61A8t00"/>
          <w:b/>
          <w:szCs w:val="20"/>
          <w:lang w:val="es-CR" w:eastAsia="es-CR"/>
        </w:rPr>
        <w:t>Libros de texto o Referencia principal de consulta</w:t>
      </w:r>
    </w:p>
    <w:p w:rsidR="00F41269" w:rsidRPr="00145C2C" w:rsidRDefault="00F41269" w:rsidP="00F41269">
      <w:pPr>
        <w:numPr>
          <w:ilvl w:val="0"/>
          <w:numId w:val="1"/>
        </w:numPr>
        <w:spacing w:line="360" w:lineRule="auto"/>
        <w:rPr>
          <w:szCs w:val="20"/>
        </w:rPr>
      </w:pPr>
      <w:r w:rsidRPr="00AB46C0">
        <w:rPr>
          <w:szCs w:val="20"/>
          <w:lang w:val="en-US"/>
        </w:rPr>
        <w:t>Horngren, Charles T., Sundem, Gary L., Elliott, John A. (2000).</w:t>
      </w:r>
      <w:r w:rsidR="00145C2C" w:rsidRPr="00AB46C0">
        <w:rPr>
          <w:szCs w:val="20"/>
          <w:lang w:val="en-US"/>
        </w:rPr>
        <w:t xml:space="preserve"> </w:t>
      </w:r>
      <w:r w:rsidRPr="00145C2C">
        <w:rPr>
          <w:i/>
          <w:szCs w:val="20"/>
        </w:rPr>
        <w:t>Introducción a la Contabilidad Financiera</w:t>
      </w:r>
      <w:r w:rsidRPr="00145C2C">
        <w:rPr>
          <w:szCs w:val="20"/>
        </w:rPr>
        <w:t>. México: Pearson.</w:t>
      </w:r>
    </w:p>
    <w:p w:rsidR="00F41269" w:rsidRPr="00145C2C" w:rsidRDefault="00F41269" w:rsidP="00F41269">
      <w:pPr>
        <w:numPr>
          <w:ilvl w:val="0"/>
          <w:numId w:val="1"/>
        </w:numPr>
        <w:spacing w:line="360" w:lineRule="auto"/>
        <w:rPr>
          <w:szCs w:val="20"/>
        </w:rPr>
      </w:pPr>
      <w:r w:rsidRPr="00145C2C">
        <w:rPr>
          <w:szCs w:val="20"/>
        </w:rPr>
        <w:t>Guajardo, Gerardo., Andrade, Nora., (2008). Contabilidad Financiera, México: Mc Graw Hill.</w:t>
      </w:r>
    </w:p>
    <w:p w:rsidR="00F41269" w:rsidRPr="00145C2C" w:rsidRDefault="00F41269" w:rsidP="00F41269">
      <w:pPr>
        <w:numPr>
          <w:ilvl w:val="0"/>
          <w:numId w:val="1"/>
        </w:numPr>
        <w:spacing w:line="360" w:lineRule="auto"/>
        <w:rPr>
          <w:szCs w:val="20"/>
          <w:lang w:val="es-CR"/>
        </w:rPr>
      </w:pPr>
      <w:r w:rsidRPr="00145C2C">
        <w:rPr>
          <w:szCs w:val="20"/>
        </w:rPr>
        <w:t xml:space="preserve">Warren, C.  Reeve, J. </w:t>
      </w:r>
      <w:r w:rsidR="00145C2C" w:rsidRPr="00145C2C">
        <w:rPr>
          <w:szCs w:val="20"/>
        </w:rPr>
        <w:t>&amp; Duchac</w:t>
      </w:r>
      <w:r w:rsidRPr="00145C2C">
        <w:rPr>
          <w:szCs w:val="20"/>
        </w:rPr>
        <w:t>, J. (2009). </w:t>
      </w:r>
      <w:r w:rsidRPr="00145C2C">
        <w:rPr>
          <w:i/>
          <w:szCs w:val="20"/>
        </w:rPr>
        <w:t>Contabilidad Financiera</w:t>
      </w:r>
      <w:r w:rsidRPr="00145C2C">
        <w:rPr>
          <w:szCs w:val="20"/>
        </w:rPr>
        <w:t> (11a. ed.). Mexico: Cengage</w:t>
      </w:r>
      <w:r w:rsidRPr="00145C2C">
        <w:rPr>
          <w:szCs w:val="20"/>
          <w:lang w:val="es-CR"/>
        </w:rPr>
        <w:t>.</w:t>
      </w:r>
    </w:p>
    <w:p w:rsidR="00F41269" w:rsidRPr="00145C2C" w:rsidRDefault="00F41269" w:rsidP="00F41269">
      <w:pPr>
        <w:numPr>
          <w:ilvl w:val="0"/>
          <w:numId w:val="1"/>
        </w:numPr>
        <w:spacing w:line="360" w:lineRule="auto"/>
        <w:rPr>
          <w:szCs w:val="20"/>
        </w:rPr>
      </w:pPr>
      <w:r w:rsidRPr="00145C2C">
        <w:rPr>
          <w:szCs w:val="20"/>
          <w:lang w:val="en-US"/>
        </w:rPr>
        <w:lastRenderedPageBreak/>
        <w:t xml:space="preserve">Meigs, Robert F., Williams, Jan R., Haka, Susan F., Bettner, Mark S. (2012). </w:t>
      </w:r>
      <w:r w:rsidRPr="00145C2C">
        <w:rPr>
          <w:i/>
          <w:szCs w:val="20"/>
        </w:rPr>
        <w:t>Contabilidad. La base para decisiones gerenciales</w:t>
      </w:r>
      <w:r w:rsidRPr="00145C2C">
        <w:rPr>
          <w:szCs w:val="20"/>
        </w:rPr>
        <w:t xml:space="preserve">. </w:t>
      </w:r>
      <w:r w:rsidR="00145C2C" w:rsidRPr="00145C2C">
        <w:rPr>
          <w:szCs w:val="20"/>
        </w:rPr>
        <w:t>México:</w:t>
      </w:r>
      <w:r w:rsidRPr="00145C2C">
        <w:rPr>
          <w:szCs w:val="20"/>
        </w:rPr>
        <w:t xml:space="preserve"> Mc Graw Hill.</w:t>
      </w:r>
    </w:p>
    <w:p w:rsidR="00F41269" w:rsidRPr="00145C2C" w:rsidRDefault="00F41269" w:rsidP="00F41269">
      <w:pPr>
        <w:numPr>
          <w:ilvl w:val="0"/>
          <w:numId w:val="1"/>
        </w:numPr>
        <w:spacing w:line="360" w:lineRule="auto"/>
        <w:rPr>
          <w:szCs w:val="20"/>
        </w:rPr>
      </w:pPr>
      <w:r w:rsidRPr="00145C2C">
        <w:rPr>
          <w:szCs w:val="20"/>
        </w:rPr>
        <w:t xml:space="preserve">Salas, </w:t>
      </w:r>
      <w:r w:rsidR="00145C2C" w:rsidRPr="00145C2C">
        <w:rPr>
          <w:szCs w:val="20"/>
        </w:rPr>
        <w:t>Tarsicio.,</w:t>
      </w:r>
      <w:r w:rsidRPr="00145C2C">
        <w:rPr>
          <w:szCs w:val="20"/>
        </w:rPr>
        <w:t xml:space="preserve"> (2016), Análisis y Diagnóstico Financiero, Costa Rica, Guayacán. </w:t>
      </w:r>
    </w:p>
    <w:p w:rsidR="00F41269" w:rsidRPr="00145C2C" w:rsidRDefault="00F41269" w:rsidP="00F41269">
      <w:pPr>
        <w:numPr>
          <w:ilvl w:val="0"/>
          <w:numId w:val="1"/>
        </w:numPr>
        <w:spacing w:line="360" w:lineRule="auto"/>
        <w:rPr>
          <w:szCs w:val="20"/>
        </w:rPr>
      </w:pPr>
      <w:r w:rsidRPr="00145C2C">
        <w:rPr>
          <w:szCs w:val="20"/>
        </w:rPr>
        <w:t xml:space="preserve">Gitman, Lawrence J. (2007). </w:t>
      </w:r>
      <w:r w:rsidRPr="00145C2C">
        <w:rPr>
          <w:i/>
          <w:szCs w:val="20"/>
        </w:rPr>
        <w:t>Principios de Administración Financiera</w:t>
      </w:r>
      <w:r w:rsidRPr="00145C2C">
        <w:rPr>
          <w:szCs w:val="20"/>
        </w:rPr>
        <w:t>. México: Pearson.</w:t>
      </w:r>
    </w:p>
    <w:p w:rsidR="00F41269" w:rsidRPr="00145C2C" w:rsidRDefault="00F41269" w:rsidP="00F41269">
      <w:pPr>
        <w:numPr>
          <w:ilvl w:val="0"/>
          <w:numId w:val="1"/>
        </w:numPr>
        <w:spacing w:line="360" w:lineRule="auto"/>
        <w:rPr>
          <w:szCs w:val="20"/>
        </w:rPr>
      </w:pPr>
      <w:r w:rsidRPr="00145C2C">
        <w:rPr>
          <w:szCs w:val="20"/>
        </w:rPr>
        <w:t xml:space="preserve">Gitman Lawrence J. (1996). </w:t>
      </w:r>
      <w:r w:rsidRPr="00145C2C">
        <w:rPr>
          <w:i/>
          <w:szCs w:val="20"/>
        </w:rPr>
        <w:t>Administración Financiera Básica</w:t>
      </w:r>
      <w:r w:rsidRPr="00145C2C">
        <w:rPr>
          <w:szCs w:val="20"/>
        </w:rPr>
        <w:t xml:space="preserve">. México: Harla </w:t>
      </w:r>
    </w:p>
    <w:p w:rsidR="00783DB4" w:rsidRPr="00145C2C" w:rsidRDefault="00783DB4" w:rsidP="000C5F98">
      <w:pPr>
        <w:ind w:firstLine="0"/>
        <w:rPr>
          <w:szCs w:val="20"/>
        </w:rPr>
      </w:pPr>
      <w:bookmarkStart w:id="0" w:name="_GoBack"/>
      <w:bookmarkEnd w:id="0"/>
    </w:p>
    <w:sectPr w:rsidR="00783DB4" w:rsidRPr="00145C2C" w:rsidSect="0085021A">
      <w:headerReference w:type="default" r:id="rId13"/>
      <w:footerReference w:type="default" r:id="rId14"/>
      <w:pgSz w:w="12240" w:h="15840"/>
      <w:pgMar w:top="1985" w:right="1134" w:bottom="992" w:left="1134" w:header="567" w:footer="567"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716" w:rsidRDefault="00DE5716">
      <w:r>
        <w:separator/>
      </w:r>
    </w:p>
  </w:endnote>
  <w:endnote w:type="continuationSeparator" w:id="0">
    <w:p w:rsidR="00DE5716" w:rsidRDefault="00DE5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TFFAB61A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2C" w:rsidRDefault="00C911CA">
    <w:pPr>
      <w:pStyle w:val="Piedepgina"/>
    </w:pPr>
    <w:r>
      <w:rPr>
        <w:noProof/>
        <w:lang w:val="es-CR" w:eastAsia="es-CR"/>
      </w:rPr>
      <w:pict>
        <v:rect id="Text Box 6" o:spid="_x0000_s2050" style="position:absolute;left:0;text-align:left;margin-left:-2.75pt;margin-top:-12.45pt;width:264.05pt;height:17.8pt;z-index:-5033164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" stroked="f">
          <v:textbox>
            <w:txbxContent>
              <w:p w:rsidR="00350F2C" w:rsidRDefault="00350F2C">
                <w:pPr>
                  <w:pStyle w:val="Contenidodelmarco"/>
                  <w:rPr>
                    <w:sz w:val="14"/>
                  </w:rPr>
                </w:pPr>
                <w:r>
                  <w:rPr>
                    <w:sz w:val="14"/>
                  </w:rPr>
                  <w:t>Programa reconocido como sustancialmente equivalente por CEAB</w:t>
                </w:r>
              </w:p>
              <w:p w:rsidR="00350F2C" w:rsidRDefault="00350F2C">
                <w:pPr>
                  <w:pStyle w:val="Contenidodelmarco"/>
                  <w:rPr>
                    <w:sz w:val="14"/>
                  </w:rPr>
                </w:pPr>
              </w:p>
            </w:txbxContent>
          </v:textbox>
        </v:rect>
      </w:pict>
    </w:r>
    <w:r>
      <w:rPr>
        <w:noProof/>
        <w:lang w:val="es-CR" w:eastAsia="es-CR"/>
      </w:rPr>
      <w:pict>
        <v:rect id="Text Box 7" o:spid="_x0000_s2049" style="position:absolute;left:0;text-align:left;margin-left:396.3pt;margin-top:-12.45pt;width:56.55pt;height:17.8pt;z-index:-5033164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" filled="f" stroked="f">
          <v:textbox>
            <w:txbxContent>
              <w:p w:rsidR="00350F2C" w:rsidRDefault="00C911CA">
                <w:pPr>
                  <w:pStyle w:val="Contenidodelmarco"/>
                  <w:jc w:val="right"/>
                  <w:rPr>
                    <w:color w:val="000000"/>
                  </w:rPr>
                </w:pPr>
                <w:r w:rsidRPr="00C911CA">
                  <w:rPr>
                    <w:color w:val="000000"/>
                  </w:rPr>
                  <w:fldChar w:fldCharType="begin"/>
                </w:r>
                <w:r w:rsidR="00350F2C">
                  <w:instrText>PAGE</w:instrText>
                </w:r>
                <w:r>
                  <w:fldChar w:fldCharType="separate"/>
                </w:r>
                <w:r w:rsidR="00E8449E">
                  <w:rPr>
                    <w:noProof/>
                  </w:rPr>
                  <w:t>1</w:t>
                </w:r>
                <w:r>
                  <w:fldChar w:fldCharType="end"/>
                </w:r>
              </w:p>
            </w:txbxContent>
          </v:textbox>
        </v:rect>
      </w:pict>
    </w:r>
    <w:r w:rsidR="00350F2C">
      <w:rPr>
        <w:noProof/>
        <w:lang w:val="es-CR" w:eastAsia="es-CR"/>
      </w:rPr>
      <w:drawing>
        <wp:anchor distT="0" distB="0" distL="133350" distR="118110" simplePos="0" relativeHeight="9" behindDoc="1" locked="0" layoutInCell="1" allowOverlap="1">
          <wp:simplePos x="0" y="0"/>
          <wp:positionH relativeFrom="column">
            <wp:posOffset>-55880</wp:posOffset>
          </wp:positionH>
          <wp:positionV relativeFrom="paragraph">
            <wp:posOffset>-284480</wp:posOffset>
          </wp:positionV>
          <wp:extent cx="6339840" cy="67691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1"/>
                  <a:srcRect r="3324"/>
                  <a:stretch>
                    <a:fillRect/>
                  </a:stretch>
                </pic:blipFill>
                <pic:spPr bwMode="auto">
                  <a:xfrm>
                    <a:off x="0" y="0"/>
                    <a:ext cx="6339840" cy="67691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716" w:rsidRDefault="00DE5716">
      <w:r>
        <w:separator/>
      </w:r>
    </w:p>
  </w:footnote>
  <w:footnote w:type="continuationSeparator" w:id="0">
    <w:p w:rsidR="00DE5716" w:rsidRDefault="00DE5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221" w:type="dxa"/>
      <w:tblInd w:w="1560" w:type="dxa"/>
      <w:tblBorders>
        <w:top w:val="none" w:sz="0" w:space="0" w:color="auto"/>
        <w:left w:val="none" w:sz="0" w:space="0" w:color="auto"/>
        <w:bottom w:val="none" w:sz="0" w:space="0" w:color="auto"/>
        <w:right w:val="none" w:sz="0" w:space="0" w:color="auto"/>
      </w:tblBorders>
      <w:tblCellMar>
        <w:left w:w="113" w:type="dxa"/>
      </w:tblCellMar>
      <w:tblLook w:val="04A0"/>
    </w:tblPr>
    <w:tblGrid>
      <w:gridCol w:w="2962"/>
      <w:gridCol w:w="5259"/>
    </w:tblGrid>
    <w:tr w:rsidR="00350F2C" w:rsidTr="00A9412B">
      <w:tc>
        <w:tcPr>
          <w:tcW w:w="2962" w:type="dxa"/>
          <w:shd w:val="clear" w:color="auto" w:fill="auto"/>
        </w:tcPr>
        <w:p w:rsidR="00350F2C" w:rsidRDefault="00350F2C">
          <w:pPr>
            <w:pStyle w:val="Encabezamiento"/>
            <w:ind w:firstLine="0"/>
            <w:jc w:val="center"/>
          </w:pPr>
          <w:r>
            <w:rPr>
              <w:noProof/>
              <w:lang w:val="es-CR" w:eastAsia="es-CR"/>
            </w:rPr>
            <w:drawing>
              <wp:anchor distT="0" distB="0" distL="114300" distR="114300" simplePos="0" relativeHeight="33" behindDoc="1" locked="0" layoutInCell="1" allowOverlap="1">
                <wp:simplePos x="0" y="0"/>
                <wp:positionH relativeFrom="column">
                  <wp:posOffset>-65405</wp:posOffset>
                </wp:positionH>
                <wp:positionV relativeFrom="paragraph">
                  <wp:posOffset>6985</wp:posOffset>
                </wp:positionV>
                <wp:extent cx="1600200" cy="596900"/>
                <wp:effectExtent l="0" t="0" r="0" b="0"/>
                <wp:wrapSquare wrapText="bothSides"/>
                <wp:docPr id="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8"/>
                        <pic:cNvPicPr>
                          <a:picLocks noChangeAspect="1" noChangeArrowheads="1"/>
                        </pic:cNvPicPr>
                      </pic:nvPicPr>
                      <pic:blipFill>
                        <a:blip r:embed="rId1"/>
                        <a:stretch>
                          <a:fillRect/>
                        </a:stretch>
                      </pic:blipFill>
                      <pic:spPr bwMode="auto">
                        <a:xfrm>
                          <a:off x="0" y="0"/>
                          <a:ext cx="1600200" cy="596900"/>
                        </a:xfrm>
                        <a:prstGeom prst="rect">
                          <a:avLst/>
                        </a:prstGeom>
                      </pic:spPr>
                    </pic:pic>
                  </a:graphicData>
                </a:graphic>
              </wp:anchor>
            </w:drawing>
          </w:r>
        </w:p>
      </w:tc>
      <w:tc>
        <w:tcPr>
          <w:tcW w:w="5258" w:type="dxa"/>
          <w:shd w:val="clear" w:color="auto" w:fill="auto"/>
          <w:tcMar>
            <w:left w:w="103" w:type="dxa"/>
          </w:tcMar>
        </w:tcPr>
        <w:p w:rsidR="00350F2C" w:rsidRDefault="00350F2C">
          <w:pPr>
            <w:pStyle w:val="Encabezamiento"/>
            <w:ind w:firstLine="0"/>
            <w:jc w:val="center"/>
          </w:pPr>
          <w:r>
            <w:rPr>
              <w:noProof/>
              <w:lang w:val="es-CR" w:eastAsia="es-CR"/>
            </w:rPr>
            <w:drawing>
              <wp:anchor distT="0" distB="0" distL="114300" distR="114300" simplePos="0" relativeHeight="41" behindDoc="1" locked="0" layoutInCell="1" allowOverlap="1">
                <wp:simplePos x="0" y="0"/>
                <wp:positionH relativeFrom="column">
                  <wp:posOffset>80645</wp:posOffset>
                </wp:positionH>
                <wp:positionV relativeFrom="paragraph">
                  <wp:posOffset>167005</wp:posOffset>
                </wp:positionV>
                <wp:extent cx="1981200" cy="329565"/>
                <wp:effectExtent l="0" t="0" r="0" b="0"/>
                <wp:wrapSquare wrapText="bothSides"/>
                <wp:docPr id="3" name="Imagen 19" descr="EII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9" descr="EII horizontal"/>
                        <pic:cNvPicPr>
                          <a:picLocks noChangeAspect="1" noChangeArrowheads="1"/>
                        </pic:cNvPicPr>
                      </pic:nvPicPr>
                      <pic:blipFill>
                        <a:blip r:embed="rId2"/>
                        <a:stretch>
                          <a:fillRect/>
                        </a:stretch>
                      </pic:blipFill>
                      <pic:spPr bwMode="auto">
                        <a:xfrm>
                          <a:off x="0" y="0"/>
                          <a:ext cx="1981200" cy="329565"/>
                        </a:xfrm>
                        <a:prstGeom prst="rect">
                          <a:avLst/>
                        </a:prstGeom>
                      </pic:spPr>
                    </pic:pic>
                  </a:graphicData>
                </a:graphic>
              </wp:anchor>
            </w:drawing>
          </w:r>
        </w:p>
      </w:tc>
    </w:tr>
  </w:tbl>
  <w:p w:rsidR="00350F2C" w:rsidRDefault="00350F2C">
    <w:pPr>
      <w:pStyle w:val="Encabezamien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730"/>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35A3DBF"/>
    <w:multiLevelType w:val="multilevel"/>
    <w:tmpl w:val="FB94FA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8656F2"/>
    <w:multiLevelType w:val="multilevel"/>
    <w:tmpl w:val="81202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827219"/>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EFC18DF"/>
    <w:multiLevelType w:val="multilevel"/>
    <w:tmpl w:val="9920FF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2B6CD5"/>
    <w:multiLevelType w:val="multilevel"/>
    <w:tmpl w:val="FE5CDA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DD5EEE"/>
    <w:multiLevelType w:val="multilevel"/>
    <w:tmpl w:val="14D0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36620"/>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18DA0D43"/>
    <w:multiLevelType w:val="multilevel"/>
    <w:tmpl w:val="DC6E282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90B79AA"/>
    <w:multiLevelType w:val="hybridMultilevel"/>
    <w:tmpl w:val="5232AC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B2B67C7"/>
    <w:multiLevelType w:val="multilevel"/>
    <w:tmpl w:val="1E365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AF7938"/>
    <w:multiLevelType w:val="multilevel"/>
    <w:tmpl w:val="518E3C9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2D5061"/>
    <w:multiLevelType w:val="multilevel"/>
    <w:tmpl w:val="DF5A0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9C181F"/>
    <w:multiLevelType w:val="hybridMultilevel"/>
    <w:tmpl w:val="2B76CB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42241DA3"/>
    <w:multiLevelType w:val="multilevel"/>
    <w:tmpl w:val="732E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8F64FE6"/>
    <w:multiLevelType w:val="multilevel"/>
    <w:tmpl w:val="C35AF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C26B9C"/>
    <w:multiLevelType w:val="multilevel"/>
    <w:tmpl w:val="30243B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166799"/>
    <w:multiLevelType w:val="hybridMultilevel"/>
    <w:tmpl w:val="5232AC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D6D2178"/>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4E891E1B"/>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4F1E7711"/>
    <w:multiLevelType w:val="multilevel"/>
    <w:tmpl w:val="461CFD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664120"/>
    <w:multiLevelType w:val="multilevel"/>
    <w:tmpl w:val="4A1A1640"/>
    <w:lvl w:ilvl="0">
      <w:start w:val="1"/>
      <w:numFmt w:val="decimal"/>
      <w:lvlText w:val="%1."/>
      <w:lvlJc w:val="left"/>
      <w:pPr>
        <w:ind w:left="704" w:hanging="4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55FD1302"/>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87266E6"/>
    <w:multiLevelType w:val="multilevel"/>
    <w:tmpl w:val="A9F832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61135488"/>
    <w:multiLevelType w:val="hybridMultilevel"/>
    <w:tmpl w:val="3648FAC0"/>
    <w:lvl w:ilvl="0" w:tplc="CDEEDD6C">
      <w:start w:val="1"/>
      <w:numFmt w:val="decimal"/>
      <w:lvlText w:val="%1."/>
      <w:lvlJc w:val="left"/>
      <w:pPr>
        <w:ind w:left="704" w:hanging="4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5">
    <w:nsid w:val="611A7C34"/>
    <w:multiLevelType w:val="multilevel"/>
    <w:tmpl w:val="5BC8784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1536A84"/>
    <w:multiLevelType w:val="multilevel"/>
    <w:tmpl w:val="2238234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3951893"/>
    <w:multiLevelType w:val="hybridMultilevel"/>
    <w:tmpl w:val="B3D0B052"/>
    <w:lvl w:ilvl="0" w:tplc="D0F2719E">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6BE325BF"/>
    <w:multiLevelType w:val="hybridMultilevel"/>
    <w:tmpl w:val="5232AC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6D92EC8"/>
    <w:multiLevelType w:val="hybridMultilevel"/>
    <w:tmpl w:val="2B76CB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78546DD0"/>
    <w:multiLevelType w:val="multilevel"/>
    <w:tmpl w:val="33AA5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8"/>
  </w:num>
  <w:num w:numId="3">
    <w:abstractNumId w:val="10"/>
  </w:num>
  <w:num w:numId="4">
    <w:abstractNumId w:val="15"/>
  </w:num>
  <w:num w:numId="5">
    <w:abstractNumId w:val="21"/>
  </w:num>
  <w:num w:numId="6">
    <w:abstractNumId w:val="2"/>
  </w:num>
  <w:num w:numId="7">
    <w:abstractNumId w:val="12"/>
  </w:num>
  <w:num w:numId="8">
    <w:abstractNumId w:val="30"/>
  </w:num>
  <w:num w:numId="9">
    <w:abstractNumId w:val="14"/>
  </w:num>
  <w:num w:numId="10">
    <w:abstractNumId w:val="1"/>
  </w:num>
  <w:num w:numId="11">
    <w:abstractNumId w:val="5"/>
  </w:num>
  <w:num w:numId="12">
    <w:abstractNumId w:val="4"/>
  </w:num>
  <w:num w:numId="13">
    <w:abstractNumId w:val="20"/>
  </w:num>
  <w:num w:numId="14">
    <w:abstractNumId w:val="11"/>
  </w:num>
  <w:num w:numId="15">
    <w:abstractNumId w:val="16"/>
  </w:num>
  <w:num w:numId="16">
    <w:abstractNumId w:val="25"/>
  </w:num>
  <w:num w:numId="17">
    <w:abstractNumId w:val="2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28"/>
  </w:num>
  <w:num w:numId="22">
    <w:abstractNumId w:val="9"/>
  </w:num>
  <w:num w:numId="23">
    <w:abstractNumId w:val="29"/>
  </w:num>
  <w:num w:numId="24">
    <w:abstractNumId w:val="22"/>
  </w:num>
  <w:num w:numId="25">
    <w:abstractNumId w:val="18"/>
  </w:num>
  <w:num w:numId="26">
    <w:abstractNumId w:val="19"/>
  </w:num>
  <w:num w:numId="27">
    <w:abstractNumId w:val="3"/>
  </w:num>
  <w:num w:numId="28">
    <w:abstractNumId w:val="27"/>
  </w:num>
  <w:num w:numId="29">
    <w:abstractNumId w:val="7"/>
  </w:num>
  <w:num w:numId="30">
    <w:abstractNumId w:val="6"/>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pt-BR" w:vendorID="64" w:dllVersion="6" w:nlCheck="1" w:checkStyle="0"/>
  <w:activeWritingStyle w:appName="MSWord" w:lang="es-ES" w:vendorID="64" w:dllVersion="6" w:nlCheck="1" w:checkStyle="1"/>
  <w:activeWritingStyle w:appName="MSWord" w:lang="es-CR"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R" w:vendorID="64" w:dllVersion="0" w:nlCheck="1" w:checkStyle="0"/>
  <w:activeWritingStyle w:appName="MSWord" w:lang="es-MX"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83DB4"/>
    <w:rsid w:val="00017514"/>
    <w:rsid w:val="00024470"/>
    <w:rsid w:val="000C5F98"/>
    <w:rsid w:val="000D10C1"/>
    <w:rsid w:val="00145C2C"/>
    <w:rsid w:val="0017156D"/>
    <w:rsid w:val="001A2654"/>
    <w:rsid w:val="0033528A"/>
    <w:rsid w:val="00350F2C"/>
    <w:rsid w:val="00483972"/>
    <w:rsid w:val="00686B9C"/>
    <w:rsid w:val="00697402"/>
    <w:rsid w:val="006A277F"/>
    <w:rsid w:val="006A7658"/>
    <w:rsid w:val="00783DB4"/>
    <w:rsid w:val="0085021A"/>
    <w:rsid w:val="008667AF"/>
    <w:rsid w:val="00A220A3"/>
    <w:rsid w:val="00A9412B"/>
    <w:rsid w:val="00A94670"/>
    <w:rsid w:val="00AA0EE3"/>
    <w:rsid w:val="00AB46C0"/>
    <w:rsid w:val="00AD1D3C"/>
    <w:rsid w:val="00B92BE4"/>
    <w:rsid w:val="00BB7DE7"/>
    <w:rsid w:val="00BD0615"/>
    <w:rsid w:val="00C07BA6"/>
    <w:rsid w:val="00C3364C"/>
    <w:rsid w:val="00C360D8"/>
    <w:rsid w:val="00C37B16"/>
    <w:rsid w:val="00C911CA"/>
    <w:rsid w:val="00D36779"/>
    <w:rsid w:val="00DE5716"/>
    <w:rsid w:val="00E76E28"/>
    <w:rsid w:val="00E8449E"/>
    <w:rsid w:val="00EF6C52"/>
    <w:rsid w:val="00F41269"/>
    <w:rsid w:val="00FA615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06"/>
    <w:pPr>
      <w:ind w:firstLine="284"/>
      <w:jc w:val="both"/>
    </w:pPr>
    <w:rPr>
      <w:rFonts w:ascii="Verdana" w:hAnsi="Verdana" w:cs="Tahoma"/>
      <w:color w:val="00000A"/>
      <w:szCs w:val="22"/>
      <w:lang w:val="es-ES" w:eastAsia="es-ES"/>
    </w:rPr>
  </w:style>
  <w:style w:type="paragraph" w:styleId="Ttulo1">
    <w:name w:val="heading 1"/>
    <w:basedOn w:val="Normal"/>
    <w:next w:val="Normal"/>
    <w:link w:val="Ttulo1Car"/>
    <w:qFormat/>
    <w:rsid w:val="00AB46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Heading1Char"/>
    <w:qFormat/>
    <w:rsid w:val="00F655B4"/>
    <w:pPr>
      <w:pBdr>
        <w:top w:val="single" w:sz="12" w:space="1" w:color="548DD4"/>
        <w:bottom w:val="single" w:sz="24" w:space="1" w:color="548DD4"/>
      </w:pBdr>
      <w:shd w:val="clear" w:color="auto" w:fill="DBE5F1" w:themeFill="accent1" w:themeFillTint="33"/>
      <w:spacing w:before="120" w:after="120"/>
      <w:outlineLvl w:val="0"/>
    </w:pPr>
    <w:rPr>
      <w:b/>
      <w:color w:val="000099"/>
      <w:sz w:val="24"/>
      <w:szCs w:val="28"/>
    </w:rPr>
  </w:style>
  <w:style w:type="paragraph" w:customStyle="1" w:styleId="Encabezado2">
    <w:name w:val="Encabezado 2"/>
    <w:basedOn w:val="Normal"/>
    <w:next w:val="Normal"/>
    <w:link w:val="Heading2Char"/>
    <w:qFormat/>
    <w:rsid w:val="008D6230"/>
    <w:pPr>
      <w:outlineLvl w:val="1"/>
    </w:pPr>
    <w:rPr>
      <w:b/>
    </w:rPr>
  </w:style>
  <w:style w:type="paragraph" w:customStyle="1" w:styleId="Encabezado3">
    <w:name w:val="Encabezado 3"/>
    <w:basedOn w:val="Normal"/>
    <w:next w:val="Normal"/>
    <w:qFormat/>
    <w:rsid w:val="007773AA"/>
    <w:pPr>
      <w:keepNext/>
      <w:spacing w:before="240" w:after="60"/>
      <w:outlineLvl w:val="2"/>
    </w:pPr>
    <w:rPr>
      <w:rFonts w:ascii="Arial" w:hAnsi="Arial" w:cs="Arial"/>
      <w:b/>
      <w:bCs/>
      <w:sz w:val="26"/>
      <w:szCs w:val="26"/>
    </w:rPr>
  </w:style>
  <w:style w:type="paragraph" w:customStyle="1" w:styleId="Encabezado4">
    <w:name w:val="Encabezado 4"/>
    <w:basedOn w:val="Normal"/>
    <w:next w:val="Normal"/>
    <w:qFormat/>
    <w:rsid w:val="00A442A2"/>
    <w:pPr>
      <w:keepNext/>
      <w:outlineLvl w:val="3"/>
    </w:pPr>
    <w:rPr>
      <w:rFonts w:ascii="Bookman Old Style" w:hAnsi="Bookman Old Style"/>
      <w:bCs/>
      <w:i/>
      <w:sz w:val="24"/>
    </w:rPr>
  </w:style>
  <w:style w:type="paragraph" w:customStyle="1" w:styleId="Encabezado5">
    <w:name w:val="Encabezado 5"/>
    <w:basedOn w:val="Normal"/>
    <w:next w:val="Normal"/>
    <w:qFormat/>
    <w:rsid w:val="009C510B"/>
    <w:pPr>
      <w:spacing w:before="240" w:after="60"/>
      <w:outlineLvl w:val="4"/>
    </w:pPr>
    <w:rPr>
      <w:b/>
      <w:bCs/>
      <w:i/>
      <w:iCs/>
      <w:sz w:val="26"/>
      <w:szCs w:val="26"/>
    </w:rPr>
  </w:style>
  <w:style w:type="character" w:styleId="Nmerodepgina">
    <w:name w:val="page number"/>
    <w:basedOn w:val="Fuentedeprrafopredeter"/>
    <w:qFormat/>
    <w:rsid w:val="00B17F13"/>
  </w:style>
  <w:style w:type="character" w:styleId="Refdecomentario">
    <w:name w:val="annotation reference"/>
    <w:basedOn w:val="Fuentedeprrafopredeter"/>
    <w:semiHidden/>
    <w:qFormat/>
    <w:rsid w:val="008B234B"/>
    <w:rPr>
      <w:sz w:val="18"/>
    </w:rPr>
  </w:style>
  <w:style w:type="character" w:customStyle="1" w:styleId="EnlacedeInternet">
    <w:name w:val="Enlace de Internet"/>
    <w:basedOn w:val="Fuentedeprrafopredeter"/>
    <w:rsid w:val="00B22563"/>
    <w:rPr>
      <w:color w:val="0000FF"/>
      <w:u w:val="single"/>
    </w:rPr>
  </w:style>
  <w:style w:type="character" w:customStyle="1" w:styleId="apple-style-span">
    <w:name w:val="apple-style-span"/>
    <w:basedOn w:val="Fuentedeprrafopredeter"/>
    <w:qFormat/>
    <w:rsid w:val="001A4D42"/>
  </w:style>
  <w:style w:type="character" w:customStyle="1" w:styleId="Heading2Char">
    <w:name w:val="Heading 2 Char"/>
    <w:basedOn w:val="Fuentedeprrafopredeter"/>
    <w:link w:val="Encabezado2"/>
    <w:qFormat/>
    <w:rsid w:val="00E66FEB"/>
    <w:rPr>
      <w:rFonts w:ascii="Verdana" w:hAnsi="Verdana" w:cs="Tahoma"/>
      <w:b/>
      <w:szCs w:val="22"/>
      <w:lang w:val="es-ES" w:eastAsia="es-ES"/>
    </w:rPr>
  </w:style>
  <w:style w:type="character" w:styleId="Textodelmarcadordeposicin">
    <w:name w:val="Placeholder Text"/>
    <w:basedOn w:val="Fuentedeprrafopredeter"/>
    <w:uiPriority w:val="99"/>
    <w:semiHidden/>
    <w:qFormat/>
    <w:rsid w:val="00DA622C"/>
    <w:rPr>
      <w:color w:val="808080"/>
    </w:rPr>
  </w:style>
  <w:style w:type="character" w:customStyle="1" w:styleId="TextocomentarioCar">
    <w:name w:val="Texto comentario Car"/>
    <w:basedOn w:val="Fuentedeprrafopredeter"/>
    <w:link w:val="Textocomentario"/>
    <w:semiHidden/>
    <w:qFormat/>
    <w:rsid w:val="00910A97"/>
    <w:rPr>
      <w:rFonts w:ascii="Verdana" w:hAnsi="Verdana" w:cs="Tahoma"/>
      <w:sz w:val="24"/>
      <w:szCs w:val="24"/>
      <w:lang w:val="es-ES" w:eastAsia="es-ES"/>
    </w:rPr>
  </w:style>
  <w:style w:type="character" w:customStyle="1" w:styleId="Textoindependiente2Car">
    <w:name w:val="Texto independiente 2 Car"/>
    <w:basedOn w:val="Fuentedeprrafopredeter"/>
    <w:link w:val="Textoindependiente2"/>
    <w:qFormat/>
    <w:rsid w:val="008E5E6A"/>
    <w:rPr>
      <w:rFonts w:ascii="Arial" w:hAnsi="Arial" w:cs="Arial"/>
      <w:sz w:val="24"/>
      <w:szCs w:val="22"/>
      <w:lang w:val="es-ES" w:eastAsia="es-ES"/>
    </w:rPr>
  </w:style>
  <w:style w:type="character" w:customStyle="1" w:styleId="Heading1Char">
    <w:name w:val="Heading 1 Char"/>
    <w:basedOn w:val="Fuentedeprrafopredeter"/>
    <w:link w:val="Encabezado1"/>
    <w:qFormat/>
    <w:rsid w:val="00B15D53"/>
    <w:rPr>
      <w:rFonts w:ascii="Verdana" w:hAnsi="Verdana" w:cs="Tahoma"/>
      <w:color w:val="000099"/>
      <w:sz w:val="24"/>
      <w:szCs w:val="28"/>
      <w:shd w:val="clear" w:color="auto" w:fill="DBE5F1"/>
      <w:lang w:val="es-ES" w:eastAsia="es-ES"/>
    </w:rPr>
  </w:style>
  <w:style w:type="character" w:customStyle="1" w:styleId="ListLabel1">
    <w:name w:val="ListLabel 1"/>
    <w:qFormat/>
    <w:rsid w:val="00C911CA"/>
    <w:rPr>
      <w:b/>
      <w:i w:val="0"/>
    </w:rPr>
  </w:style>
  <w:style w:type="character" w:customStyle="1" w:styleId="ListLabel2">
    <w:name w:val="ListLabel 2"/>
    <w:qFormat/>
    <w:rsid w:val="00C911CA"/>
    <w:rPr>
      <w:rFonts w:cs="Courier New"/>
    </w:rPr>
  </w:style>
  <w:style w:type="character" w:customStyle="1" w:styleId="ListLabel3">
    <w:name w:val="ListLabel 3"/>
    <w:qFormat/>
    <w:rsid w:val="00C911CA"/>
    <w:rPr>
      <w:b/>
    </w:rPr>
  </w:style>
  <w:style w:type="character" w:customStyle="1" w:styleId="ListLabel4">
    <w:name w:val="ListLabel 4"/>
    <w:qFormat/>
    <w:rsid w:val="00C911CA"/>
    <w:rPr>
      <w:rFonts w:ascii="Helvetica" w:hAnsi="Helvetica" w:cs="Symbol"/>
      <w:sz w:val="22"/>
    </w:rPr>
  </w:style>
  <w:style w:type="character" w:customStyle="1" w:styleId="ListLabel5">
    <w:name w:val="ListLabel 5"/>
    <w:qFormat/>
    <w:rsid w:val="00C911CA"/>
    <w:rPr>
      <w:rFonts w:cs="Courier New"/>
    </w:rPr>
  </w:style>
  <w:style w:type="character" w:customStyle="1" w:styleId="ListLabel6">
    <w:name w:val="ListLabel 6"/>
    <w:qFormat/>
    <w:rsid w:val="00C911CA"/>
    <w:rPr>
      <w:rFonts w:cs="Wingdings"/>
    </w:rPr>
  </w:style>
  <w:style w:type="character" w:customStyle="1" w:styleId="ListLabel7">
    <w:name w:val="ListLabel 7"/>
    <w:qFormat/>
    <w:rsid w:val="00C911CA"/>
    <w:rPr>
      <w:b/>
    </w:rPr>
  </w:style>
  <w:style w:type="paragraph" w:styleId="Encabezado">
    <w:name w:val="header"/>
    <w:basedOn w:val="Normal"/>
    <w:next w:val="Cuerpodetexto"/>
    <w:qFormat/>
    <w:rsid w:val="00C911CA"/>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rsid w:val="00C911CA"/>
    <w:pPr>
      <w:spacing w:after="140" w:line="288" w:lineRule="auto"/>
    </w:pPr>
  </w:style>
  <w:style w:type="paragraph" w:styleId="Lista">
    <w:name w:val="List"/>
    <w:basedOn w:val="Cuerpodetexto"/>
    <w:rsid w:val="00C911CA"/>
    <w:rPr>
      <w:rFonts w:cs="Lucida Sans"/>
    </w:rPr>
  </w:style>
  <w:style w:type="paragraph" w:customStyle="1" w:styleId="Leyenda">
    <w:name w:val="Leyenda"/>
    <w:basedOn w:val="Normal"/>
    <w:rsid w:val="00C911CA"/>
    <w:pPr>
      <w:suppressLineNumbers/>
      <w:spacing w:before="120" w:after="120"/>
    </w:pPr>
    <w:rPr>
      <w:rFonts w:cs="Lucida Sans"/>
      <w:i/>
      <w:iCs/>
      <w:sz w:val="24"/>
      <w:szCs w:val="24"/>
    </w:rPr>
  </w:style>
  <w:style w:type="paragraph" w:customStyle="1" w:styleId="ndice">
    <w:name w:val="Índice"/>
    <w:basedOn w:val="Normal"/>
    <w:qFormat/>
    <w:rsid w:val="00C911CA"/>
    <w:pPr>
      <w:suppressLineNumbers/>
    </w:pPr>
    <w:rPr>
      <w:rFonts w:cs="Lucida Sans"/>
    </w:rPr>
  </w:style>
  <w:style w:type="paragraph" w:customStyle="1" w:styleId="Estilo2">
    <w:name w:val="Estilo2"/>
    <w:basedOn w:val="Normal"/>
    <w:qFormat/>
    <w:rsid w:val="008340C1"/>
    <w:pPr>
      <w:spacing w:line="360" w:lineRule="auto"/>
    </w:pPr>
    <w:rPr>
      <w:rFonts w:ascii="Arial" w:hAnsi="Arial" w:cs="Arial"/>
      <w:lang w:val="es-MX"/>
    </w:rPr>
  </w:style>
  <w:style w:type="paragraph" w:styleId="ndice1">
    <w:name w:val="index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qFormat/>
    <w:rsid w:val="008340C1"/>
    <w:pPr>
      <w:tabs>
        <w:tab w:val="left" w:pos="709"/>
      </w:tabs>
      <w:spacing w:after="60"/>
      <w:outlineLvl w:val="1"/>
    </w:pPr>
    <w:rPr>
      <w:b/>
    </w:rPr>
  </w:style>
  <w:style w:type="paragraph" w:customStyle="1" w:styleId="Estilo6">
    <w:name w:val="Estilo6"/>
    <w:basedOn w:val="Estilo2"/>
    <w:autoRedefine/>
    <w:qFormat/>
    <w:rsid w:val="00AA2B62"/>
    <w:p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paragraph" w:styleId="Textoindependiente2">
    <w:name w:val="Body Text 2"/>
    <w:basedOn w:val="Normal"/>
    <w:link w:val="Textoindependiente2Car"/>
    <w:qFormat/>
    <w:rsid w:val="00A442A2"/>
    <w:pPr>
      <w:spacing w:line="360" w:lineRule="auto"/>
    </w:pPr>
    <w:rPr>
      <w:rFonts w:ascii="Arial" w:hAnsi="Arial" w:cs="Arial"/>
      <w:sz w:val="24"/>
    </w:rPr>
  </w:style>
  <w:style w:type="paragraph" w:customStyle="1" w:styleId="Encabezamiento">
    <w:name w:val="Encabezamiento"/>
    <w:basedOn w:val="Normal"/>
    <w:rsid w:val="004A16F9"/>
    <w:pPr>
      <w:tabs>
        <w:tab w:val="center" w:pos="4252"/>
        <w:tab w:val="right" w:pos="8504"/>
      </w:tabs>
    </w:pPr>
  </w:style>
  <w:style w:type="paragraph" w:styleId="Textocomentario">
    <w:name w:val="annotation text"/>
    <w:basedOn w:val="Normal"/>
    <w:link w:val="TextocomentarioCar"/>
    <w:semiHidden/>
    <w:qFormat/>
    <w:rsid w:val="008B234B"/>
    <w:rPr>
      <w:sz w:val="24"/>
      <w:szCs w:val="24"/>
    </w:rPr>
  </w:style>
  <w:style w:type="paragraph" w:styleId="Asuntodelcomentario">
    <w:name w:val="annotation subject"/>
    <w:basedOn w:val="Textocomentario"/>
    <w:semiHidden/>
    <w:qFormat/>
    <w:rsid w:val="008B234B"/>
    <w:rPr>
      <w:sz w:val="20"/>
      <w:szCs w:val="20"/>
    </w:rPr>
  </w:style>
  <w:style w:type="paragraph" w:styleId="Textodeglobo">
    <w:name w:val="Balloon Text"/>
    <w:basedOn w:val="Normal"/>
    <w:semiHidden/>
    <w:qFormat/>
    <w:rsid w:val="008B234B"/>
    <w:rPr>
      <w:rFonts w:ascii="Lucida Grande" w:hAnsi="Lucida Grande"/>
      <w:sz w:val="18"/>
      <w:szCs w:val="18"/>
    </w:rPr>
  </w:style>
  <w:style w:type="paragraph" w:customStyle="1" w:styleId="Ttulo10">
    <w:name w:val="Título1"/>
    <w:basedOn w:val="Normal"/>
    <w:qFormat/>
    <w:rsid w:val="007773AA"/>
    <w:pPr>
      <w:spacing w:before="240" w:after="60"/>
      <w:jc w:val="center"/>
      <w:outlineLvl w:val="0"/>
    </w:pPr>
    <w:rPr>
      <w:rFonts w:ascii="Arial" w:hAnsi="Arial" w:cs="Arial"/>
      <w:b/>
      <w:bCs/>
      <w:sz w:val="32"/>
      <w:szCs w:val="32"/>
    </w:rPr>
  </w:style>
  <w:style w:type="paragraph" w:customStyle="1" w:styleId="MMTitle">
    <w:name w:val="MM Title"/>
    <w:basedOn w:val="Ttulo10"/>
    <w:qFormat/>
    <w:rsid w:val="007773AA"/>
  </w:style>
  <w:style w:type="paragraph" w:customStyle="1" w:styleId="MMTopic1">
    <w:name w:val="MM Topic 1"/>
    <w:basedOn w:val="Encabezado1"/>
    <w:qFormat/>
    <w:rsid w:val="007773AA"/>
    <w:pPr>
      <w:shd w:val="clear" w:color="auto" w:fill="DBE5F1"/>
    </w:pPr>
  </w:style>
  <w:style w:type="paragraph" w:customStyle="1" w:styleId="MMTopic2">
    <w:name w:val="MM Topic 2"/>
    <w:basedOn w:val="Encabezado2"/>
    <w:qFormat/>
    <w:rsid w:val="007773AA"/>
  </w:style>
  <w:style w:type="paragraph" w:customStyle="1" w:styleId="MMTopic3">
    <w:name w:val="MM Topic 3"/>
    <w:basedOn w:val="Encabezado3"/>
    <w:qFormat/>
    <w:rsid w:val="007773AA"/>
  </w:style>
  <w:style w:type="paragraph" w:styleId="Prrafodelista">
    <w:name w:val="List Paragraph"/>
    <w:basedOn w:val="Normal"/>
    <w:uiPriority w:val="34"/>
    <w:qFormat/>
    <w:rsid w:val="00272BD1"/>
    <w:pPr>
      <w:ind w:left="720"/>
      <w:contextualSpacing/>
    </w:pPr>
  </w:style>
  <w:style w:type="paragraph" w:customStyle="1" w:styleId="Ul">
    <w:name w:val="Ul"/>
    <w:basedOn w:val="Normal"/>
    <w:qFormat/>
    <w:rsid w:val="00ED2061"/>
    <w:rPr>
      <w:rFonts w:eastAsia="Verdana" w:cs="Verdana"/>
      <w:color w:val="000000"/>
      <w:szCs w:val="24"/>
      <w:shd w:val="clear" w:color="auto" w:fill="FFFFFF"/>
      <w:lang w:val="ru-RU" w:eastAsia="ru-RU"/>
    </w:rPr>
  </w:style>
  <w:style w:type="paragraph" w:customStyle="1" w:styleId="Li">
    <w:name w:val="Li"/>
    <w:basedOn w:val="Normal"/>
    <w:qFormat/>
    <w:rsid w:val="00ED2061"/>
    <w:rPr>
      <w:rFonts w:eastAsia="Verdana" w:cs="Verdana"/>
      <w:color w:val="000000"/>
      <w:szCs w:val="24"/>
      <w:shd w:val="clear" w:color="auto" w:fill="FFFFFF"/>
      <w:lang w:val="ru-RU" w:eastAsia="ru-RU"/>
    </w:rPr>
  </w:style>
  <w:style w:type="paragraph" w:styleId="Bibliografa">
    <w:name w:val="Bibliography"/>
    <w:basedOn w:val="Normal"/>
    <w:next w:val="Normal"/>
    <w:uiPriority w:val="37"/>
    <w:unhideWhenUsed/>
    <w:qFormat/>
    <w:rsid w:val="00C7212A"/>
  </w:style>
  <w:style w:type="paragraph" w:customStyle="1" w:styleId="Prrafodelista1">
    <w:name w:val="Párrafo de lista1"/>
    <w:basedOn w:val="Normal"/>
    <w:uiPriority w:val="99"/>
    <w:qFormat/>
    <w:rsid w:val="00A77D1B"/>
    <w:pPr>
      <w:ind w:left="720" w:firstLine="0"/>
      <w:contextualSpacing/>
      <w:jc w:val="left"/>
    </w:pPr>
    <w:rPr>
      <w:rFonts w:ascii="Times New Roman" w:hAnsi="Times New Roman" w:cs="Times New Roman"/>
      <w:szCs w:val="20"/>
      <w:lang w:val="es-CR"/>
    </w:rPr>
  </w:style>
  <w:style w:type="paragraph" w:styleId="NormalWeb">
    <w:name w:val="Normal (Web)"/>
    <w:basedOn w:val="Normal"/>
    <w:uiPriority w:val="99"/>
    <w:unhideWhenUsed/>
    <w:qFormat/>
    <w:rsid w:val="00AE34F4"/>
    <w:pPr>
      <w:spacing w:beforeAutospacing="1" w:afterAutospacing="1"/>
      <w:ind w:firstLine="0"/>
      <w:jc w:val="left"/>
    </w:pPr>
    <w:rPr>
      <w:rFonts w:ascii="Times New Roman" w:hAnsi="Times New Roman" w:cs="Times New Roman"/>
      <w:sz w:val="24"/>
      <w:szCs w:val="24"/>
      <w:lang w:val="es-CR" w:eastAsia="es-CR"/>
    </w:rPr>
  </w:style>
  <w:style w:type="paragraph" w:customStyle="1" w:styleId="Default">
    <w:name w:val="Default"/>
    <w:qFormat/>
    <w:rsid w:val="009F235D"/>
    <w:rPr>
      <w:rFonts w:eastAsiaTheme="minorHAnsi"/>
      <w:color w:val="000000"/>
      <w:sz w:val="24"/>
      <w:szCs w:val="24"/>
      <w:lang w:val="es-ES" w:eastAsia="en-US"/>
    </w:rPr>
  </w:style>
  <w:style w:type="paragraph" w:customStyle="1" w:styleId="Contenidodelmarco">
    <w:name w:val="Contenido del marco"/>
    <w:basedOn w:val="Normal"/>
    <w:qFormat/>
    <w:rsid w:val="00C911CA"/>
  </w:style>
  <w:style w:type="paragraph" w:styleId="Cita">
    <w:name w:val="Quote"/>
    <w:basedOn w:val="Normal"/>
    <w:qFormat/>
    <w:rsid w:val="00C911CA"/>
  </w:style>
  <w:style w:type="paragraph" w:styleId="Subttulo">
    <w:name w:val="Subtitle"/>
    <w:basedOn w:val="Encabezado"/>
    <w:rsid w:val="00C911CA"/>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AB46C0"/>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0AA8EC-5FFF-45C1-B456-96B7328212BD}" type="doc">
      <dgm:prSet loTypeId="urn:microsoft.com/office/officeart/2005/8/layout/bProcess4" loCatId="process" qsTypeId="urn:microsoft.com/office/officeart/2005/8/quickstyle/simple1" qsCatId="simple" csTypeId="urn:microsoft.com/office/officeart/2005/8/colors/accent1_1" csCatId="accent1" phldr="1"/>
      <dgm:spPr/>
      <dgm:t>
        <a:bodyPr/>
        <a:lstStyle/>
        <a:p>
          <a:endParaRPr lang="es-CR"/>
        </a:p>
      </dgm:t>
    </dgm:pt>
    <dgm:pt modelId="{5272ECA3-6D7E-4148-84F2-E11324F7D346}">
      <dgm:prSet phldrT="[Texto]" custT="1"/>
      <dgm:spPr/>
      <dgm:t>
        <a:bodyPr/>
        <a:lstStyle/>
        <a:p>
          <a:r>
            <a:rPr lang="es-CR" sz="1200" b="0" i="0" u="none" dirty="0">
              <a:latin typeface="Calibri Light" panose="020F0302020204030204" pitchFamily="34" charset="0"/>
              <a:cs typeface="Calibri Light" panose="020F0302020204030204" pitchFamily="34" charset="0"/>
            </a:rPr>
            <a:t>Una base de conocimientos para la ingeniería</a:t>
          </a:r>
          <a:endParaRPr lang="es-CR" sz="1200" dirty="0">
            <a:latin typeface="Calibri Light" panose="020F0302020204030204" pitchFamily="34" charset="0"/>
            <a:cs typeface="Calibri Light" panose="020F0302020204030204" pitchFamily="34" charset="0"/>
          </a:endParaRPr>
        </a:p>
      </dgm:t>
    </dgm:pt>
    <dgm:pt modelId="{3C9EABAF-ED6E-45B4-8F1A-5AE4B93529E6}" type="par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3EF37577-E747-4BED-A9D6-813FE32BD7B4}" type="sibTrans" cxnId="{7A89339F-0082-44D9-ABF5-A13A78BC042E}">
      <dgm:prSet/>
      <dgm:spPr/>
      <dgm:t>
        <a:bodyPr/>
        <a:lstStyle/>
        <a:p>
          <a:endParaRPr lang="es-CR" sz="1200">
            <a:latin typeface="Calibri Light" panose="020F0302020204030204" pitchFamily="34" charset="0"/>
            <a:cs typeface="Calibri Light" panose="020F0302020204030204" pitchFamily="34" charset="0"/>
          </a:endParaRPr>
        </a:p>
      </dgm:t>
    </dgm:pt>
    <dgm:pt modelId="{61210CB1-EC93-411F-B263-34D453025FE0}">
      <dgm:prSet custT="1"/>
      <dgm:spPr/>
      <dgm:t>
        <a:bodyPr/>
        <a:lstStyle/>
        <a:p>
          <a:r>
            <a:rPr lang="es-CR" sz="1200" b="0" i="0" u="none" dirty="0">
              <a:latin typeface="Calibri Light" panose="020F0302020204030204" pitchFamily="34" charset="0"/>
              <a:cs typeface="Calibri Light" panose="020F0302020204030204" pitchFamily="34" charset="0"/>
            </a:rPr>
            <a:t>Habilidad analítica</a:t>
          </a:r>
          <a:endParaRPr lang="es-CR" sz="1200" dirty="0">
            <a:latin typeface="Calibri Light" panose="020F0302020204030204" pitchFamily="34" charset="0"/>
            <a:cs typeface="Calibri Light" panose="020F0302020204030204" pitchFamily="34" charset="0"/>
          </a:endParaRPr>
        </a:p>
      </dgm:t>
    </dgm:pt>
    <dgm:pt modelId="{DEEC1A27-D578-4F18-945B-0DBEB8083F14}" type="par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9532D055-D72E-4590-864D-51D4D4AA8CCC}" type="sibTrans" cxnId="{8336D80F-52AB-4489-886D-5911928898D4}">
      <dgm:prSet/>
      <dgm:spPr/>
      <dgm:t>
        <a:bodyPr/>
        <a:lstStyle/>
        <a:p>
          <a:endParaRPr lang="es-CR" sz="1200">
            <a:latin typeface="Calibri Light" panose="020F0302020204030204" pitchFamily="34" charset="0"/>
            <a:cs typeface="Calibri Light" panose="020F0302020204030204" pitchFamily="34" charset="0"/>
          </a:endParaRPr>
        </a:p>
      </dgm:t>
    </dgm:pt>
    <dgm:pt modelId="{B2506FAF-071D-42E4-A7A4-93E2F7204093}">
      <dgm:prSet custT="1"/>
      <dgm:spPr/>
      <dgm:t>
        <a:bodyPr/>
        <a:lstStyle/>
        <a:p>
          <a:r>
            <a:rPr lang="es-CR" sz="1200" b="0" i="0" u="none" dirty="0">
              <a:latin typeface="Calibri Light" panose="020F0302020204030204" pitchFamily="34" charset="0"/>
              <a:cs typeface="Calibri Light" panose="020F0302020204030204" pitchFamily="34" charset="0"/>
            </a:rPr>
            <a:t>Investigación</a:t>
          </a:r>
          <a:endParaRPr lang="es-CR" sz="1200" dirty="0">
            <a:latin typeface="Calibri Light" panose="020F0302020204030204" pitchFamily="34" charset="0"/>
            <a:cs typeface="Calibri Light" panose="020F0302020204030204" pitchFamily="34" charset="0"/>
          </a:endParaRPr>
        </a:p>
      </dgm:t>
    </dgm:pt>
    <dgm:pt modelId="{F99F8E6A-7DF7-45C9-A47E-5E7B72A09972}" type="par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E4A7C6A9-1DBF-46FF-A86F-3171CC3A990A}" type="sibTrans" cxnId="{4912F2DB-417C-482F-AAAA-7BCB153BF1D7}">
      <dgm:prSet/>
      <dgm:spPr/>
      <dgm:t>
        <a:bodyPr/>
        <a:lstStyle/>
        <a:p>
          <a:endParaRPr lang="es-CR" sz="1200">
            <a:latin typeface="Calibri Light" panose="020F0302020204030204" pitchFamily="34" charset="0"/>
            <a:cs typeface="Calibri Light" panose="020F0302020204030204" pitchFamily="34" charset="0"/>
          </a:endParaRPr>
        </a:p>
      </dgm:t>
    </dgm:pt>
    <dgm:pt modelId="{12CDF033-2BAD-4C37-9E11-81F8199C265A}">
      <dgm:prSet custT="1"/>
      <dgm:spPr/>
      <dgm:t>
        <a:bodyPr/>
        <a:lstStyle/>
        <a:p>
          <a:r>
            <a:rPr lang="es-CR" sz="1200" b="0" i="0" u="none" dirty="0">
              <a:latin typeface="Calibri Light" panose="020F0302020204030204" pitchFamily="34" charset="0"/>
              <a:cs typeface="Calibri Light" panose="020F0302020204030204" pitchFamily="34" charset="0"/>
            </a:rPr>
            <a:t>Diseño</a:t>
          </a:r>
          <a:endParaRPr lang="es-CR" sz="1200" dirty="0">
            <a:latin typeface="Calibri Light" panose="020F0302020204030204" pitchFamily="34" charset="0"/>
            <a:cs typeface="Calibri Light" panose="020F0302020204030204" pitchFamily="34" charset="0"/>
          </a:endParaRPr>
        </a:p>
      </dgm:t>
    </dgm:pt>
    <dgm:pt modelId="{65CDF54F-F86F-432B-9150-EF725AE010BB}" type="par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4040AC3D-7228-4AD9-9B68-5AC0947E0179}" type="sibTrans" cxnId="{170270BF-0C7B-4107-B619-BEF5FC75D84C}">
      <dgm:prSet/>
      <dgm:spPr/>
      <dgm:t>
        <a:bodyPr/>
        <a:lstStyle/>
        <a:p>
          <a:endParaRPr lang="es-CR" sz="1200">
            <a:latin typeface="Calibri Light" panose="020F0302020204030204" pitchFamily="34" charset="0"/>
            <a:cs typeface="Calibri Light" panose="020F0302020204030204" pitchFamily="34" charset="0"/>
          </a:endParaRPr>
        </a:p>
      </dgm:t>
    </dgm:pt>
    <dgm:pt modelId="{B22A4797-E021-4B58-BAFE-ADD40893C465}">
      <dgm:prSet custT="1"/>
      <dgm:spPr/>
      <dgm:t>
        <a:bodyPr/>
        <a:lstStyle/>
        <a:p>
          <a:r>
            <a:rPr lang="es-CR" sz="1200" b="0" i="0" u="none" dirty="0">
              <a:latin typeface="Calibri Light" panose="020F0302020204030204" pitchFamily="34" charset="0"/>
              <a:cs typeface="Calibri Light" panose="020F0302020204030204" pitchFamily="34" charset="0"/>
            </a:rPr>
            <a:t>Uso de herramientas de ingeniería</a:t>
          </a:r>
          <a:endParaRPr lang="es-CR" sz="1200" dirty="0">
            <a:latin typeface="Calibri Light" panose="020F0302020204030204" pitchFamily="34" charset="0"/>
            <a:cs typeface="Calibri Light" panose="020F0302020204030204" pitchFamily="34" charset="0"/>
          </a:endParaRPr>
        </a:p>
      </dgm:t>
    </dgm:pt>
    <dgm:pt modelId="{ED933D73-A17B-48DF-AF45-A245DE86FC72}" type="par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8E6F6C27-4FE9-4FE7-B388-3042CE4C093C}" type="sibTrans" cxnId="{6576FFE0-856B-4030-80B2-FF85E5EF9805}">
      <dgm:prSet/>
      <dgm:spPr/>
      <dgm:t>
        <a:bodyPr/>
        <a:lstStyle/>
        <a:p>
          <a:endParaRPr lang="es-CR" sz="1200">
            <a:latin typeface="Calibri Light" panose="020F0302020204030204" pitchFamily="34" charset="0"/>
            <a:cs typeface="Calibri Light" panose="020F0302020204030204" pitchFamily="34" charset="0"/>
          </a:endParaRPr>
        </a:p>
      </dgm:t>
    </dgm:pt>
    <dgm:pt modelId="{B5880823-1140-4D23-AF28-AFC9DA90CC74}">
      <dgm:prSet custT="1"/>
      <dgm:spPr/>
      <dgm:t>
        <a:bodyPr/>
        <a:lstStyle/>
        <a:p>
          <a:r>
            <a:rPr lang="es-CR" sz="1200" b="0" i="0" u="none" dirty="0">
              <a:latin typeface="Calibri Light" panose="020F0302020204030204" pitchFamily="34" charset="0"/>
              <a:cs typeface="Calibri Light" panose="020F0302020204030204" pitchFamily="34" charset="0"/>
            </a:rPr>
            <a:t>Compromiso con la sostenibilidad</a:t>
          </a:r>
          <a:endParaRPr lang="es-CR" sz="1200" dirty="0">
            <a:latin typeface="Calibri Light" panose="020F0302020204030204" pitchFamily="34" charset="0"/>
            <a:cs typeface="Calibri Light" panose="020F0302020204030204" pitchFamily="34" charset="0"/>
          </a:endParaRPr>
        </a:p>
      </dgm:t>
    </dgm:pt>
    <dgm:pt modelId="{B7B34B31-2089-4EE3-BEB9-00ED62BEDB46}" type="par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F4D08D28-947E-4A2A-BE3A-825E0728C6EE}" type="sibTrans" cxnId="{2D01FE85-2895-45E4-B6BD-73129B0DEBB3}">
      <dgm:prSet/>
      <dgm:spPr/>
      <dgm:t>
        <a:bodyPr/>
        <a:lstStyle/>
        <a:p>
          <a:endParaRPr lang="es-CR" sz="1200">
            <a:latin typeface="Calibri Light" panose="020F0302020204030204" pitchFamily="34" charset="0"/>
            <a:cs typeface="Calibri Light" panose="020F0302020204030204" pitchFamily="34" charset="0"/>
          </a:endParaRPr>
        </a:p>
      </dgm:t>
    </dgm:pt>
    <dgm:pt modelId="{63DDF533-2B57-4FE6-A40B-78EA62790E55}">
      <dgm:prSet custT="1"/>
      <dgm:spPr>
        <a:noFill/>
      </dgm:spPr>
      <dgm:t>
        <a:bodyPr/>
        <a:lstStyle/>
        <a:p>
          <a:r>
            <a:rPr lang="es-CR" sz="1200" b="0" i="0" u="none" dirty="0">
              <a:latin typeface="Calibri Light" panose="020F0302020204030204" pitchFamily="34" charset="0"/>
              <a:cs typeface="Calibri Light" panose="020F0302020204030204" pitchFamily="34" charset="0"/>
            </a:rPr>
            <a:t>Ingeniería económica y gestión de proyectos</a:t>
          </a:r>
          <a:endParaRPr lang="es-CR" sz="1200" dirty="0">
            <a:latin typeface="Calibri Light" panose="020F0302020204030204" pitchFamily="34" charset="0"/>
            <a:cs typeface="Calibri Light" panose="020F0302020204030204" pitchFamily="34" charset="0"/>
          </a:endParaRPr>
        </a:p>
      </dgm:t>
    </dgm:pt>
    <dgm:pt modelId="{8DC04ECD-4766-4986-B153-A97BFFC27554}" type="par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C3CFF9BB-AC83-4489-90DF-AC9F8A2134E0}" type="sibTrans" cxnId="{FEAC6342-ACD1-4B41-8CD0-3CF2FF541908}">
      <dgm:prSet/>
      <dgm:spPr/>
      <dgm:t>
        <a:bodyPr/>
        <a:lstStyle/>
        <a:p>
          <a:endParaRPr lang="es-CR" sz="1200">
            <a:latin typeface="Calibri Light" panose="020F0302020204030204" pitchFamily="34" charset="0"/>
            <a:cs typeface="Calibri Light" panose="020F0302020204030204" pitchFamily="34" charset="0"/>
          </a:endParaRPr>
        </a:p>
      </dgm:t>
    </dgm:pt>
    <dgm:pt modelId="{44CBAE36-089B-46F6-AE1B-ADC7881B1F3B}">
      <dgm:prSet custT="1"/>
      <dgm:spPr/>
      <dgm:t>
        <a:bodyPr/>
        <a:lstStyle/>
        <a:p>
          <a:r>
            <a:rPr lang="es-CR" sz="1200" b="0" i="0" u="none" dirty="0">
              <a:latin typeface="Calibri Light" panose="020F0302020204030204" pitchFamily="34" charset="0"/>
              <a:cs typeface="Calibri Light" panose="020F0302020204030204" pitchFamily="34" charset="0"/>
            </a:rPr>
            <a:t>Ética y equidad</a:t>
          </a:r>
          <a:endParaRPr lang="es-CR" sz="1200" dirty="0">
            <a:latin typeface="Calibri Light" panose="020F0302020204030204" pitchFamily="34" charset="0"/>
            <a:cs typeface="Calibri Light" panose="020F0302020204030204" pitchFamily="34" charset="0"/>
          </a:endParaRPr>
        </a:p>
      </dgm:t>
    </dgm:pt>
    <dgm:pt modelId="{8F65953A-7CB8-4F4B-B269-5315ABBA4DDA}" type="par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EF37C808-4160-4921-9C1C-25A5EE10EDAE}" type="sibTrans" cxnId="{352EFEE7-974F-4819-8B66-C4456C4FBB18}">
      <dgm:prSet/>
      <dgm:spPr/>
      <dgm:t>
        <a:bodyPr/>
        <a:lstStyle/>
        <a:p>
          <a:endParaRPr lang="es-CR" sz="1200">
            <a:latin typeface="Calibri Light" panose="020F0302020204030204" pitchFamily="34" charset="0"/>
            <a:cs typeface="Calibri Light" panose="020F0302020204030204" pitchFamily="34" charset="0"/>
          </a:endParaRPr>
        </a:p>
      </dgm:t>
    </dgm:pt>
    <dgm:pt modelId="{1500A433-B21F-44C6-A17B-D1697BCEAF5F}">
      <dgm:prSet custT="1"/>
      <dgm:spPr/>
      <dgm:t>
        <a:bodyPr/>
        <a:lstStyle/>
        <a:p>
          <a:r>
            <a:rPr lang="es-CR" sz="1200" b="0" i="0" u="none" dirty="0">
              <a:latin typeface="Calibri Light" panose="020F0302020204030204" pitchFamily="34" charset="0"/>
              <a:cs typeface="Calibri Light" panose="020F0302020204030204" pitchFamily="34" charset="0"/>
            </a:rPr>
            <a:t>Aprendizaje continuo para la vida</a:t>
          </a:r>
          <a:endParaRPr lang="es-CR" sz="1200" dirty="0">
            <a:latin typeface="Calibri Light" panose="020F0302020204030204" pitchFamily="34" charset="0"/>
            <a:cs typeface="Calibri Light" panose="020F0302020204030204" pitchFamily="34" charset="0"/>
          </a:endParaRPr>
        </a:p>
      </dgm:t>
    </dgm:pt>
    <dgm:pt modelId="{DDA6C987-5C47-4279-9F26-DC68790A26D3}" type="par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4D627C86-8591-4844-8747-13D591A21AB5}" type="sibTrans" cxnId="{F7D686E1-1756-4277-8CA8-8E95B13DB51A}">
      <dgm:prSet/>
      <dgm:spPr/>
      <dgm:t>
        <a:bodyPr/>
        <a:lstStyle/>
        <a:p>
          <a:endParaRPr lang="es-CR" sz="1200">
            <a:latin typeface="Calibri Light" panose="020F0302020204030204" pitchFamily="34" charset="0"/>
            <a:cs typeface="Calibri Light" panose="020F0302020204030204" pitchFamily="34" charset="0"/>
          </a:endParaRPr>
        </a:p>
      </dgm:t>
    </dgm:pt>
    <dgm:pt modelId="{BC071A98-4837-4487-A8A6-C77F8763EFD1}">
      <dgm:prSet custT="1"/>
      <dgm:spPr/>
      <dgm:t>
        <a:bodyPr/>
        <a:lstStyle/>
        <a:p>
          <a:r>
            <a:rPr lang="es-CR" sz="1200" b="0" i="0" u="none" dirty="0">
              <a:latin typeface="Calibri Light" panose="020F0302020204030204" pitchFamily="34" charset="0"/>
              <a:cs typeface="Calibri Light" panose="020F0302020204030204" pitchFamily="34" charset="0"/>
            </a:rPr>
            <a:t>Trabajo individual y en equipo</a:t>
          </a:r>
          <a:endParaRPr lang="es-CR" sz="1200" dirty="0">
            <a:latin typeface="Calibri Light" panose="020F0302020204030204" pitchFamily="34" charset="0"/>
            <a:cs typeface="Calibri Light" panose="020F0302020204030204" pitchFamily="34" charset="0"/>
          </a:endParaRPr>
        </a:p>
      </dgm:t>
    </dgm:pt>
    <dgm:pt modelId="{EFEEC18B-A13B-4601-8392-DC6A6F565B7C}" type="par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6EE757AD-74E3-4221-8A48-5E322289C3E2}" type="sibTrans" cxnId="{C0087881-E3CB-42AE-A8D2-A6EB19A30917}">
      <dgm:prSet/>
      <dgm:spPr/>
      <dgm:t>
        <a:bodyPr/>
        <a:lstStyle/>
        <a:p>
          <a:endParaRPr lang="es-CR" sz="1200">
            <a:latin typeface="Calibri Light" panose="020F0302020204030204" pitchFamily="34" charset="0"/>
            <a:cs typeface="Calibri Light" panose="020F0302020204030204" pitchFamily="34" charset="0"/>
          </a:endParaRPr>
        </a:p>
      </dgm:t>
    </dgm:pt>
    <dgm:pt modelId="{B20639BF-4F47-49AD-895F-B0E793648380}">
      <dgm:prSet custT="1"/>
      <dgm:spPr/>
      <dgm:t>
        <a:bodyPr/>
        <a:lstStyle/>
        <a:p>
          <a:r>
            <a:rPr lang="es-CR" sz="1200" b="0" i="0" u="none" dirty="0">
              <a:latin typeface="Calibri Light" panose="020F0302020204030204" pitchFamily="34" charset="0"/>
              <a:cs typeface="Calibri Light" panose="020F0302020204030204" pitchFamily="34" charset="0"/>
            </a:rPr>
            <a:t>Capacidad de comunicación</a:t>
          </a:r>
          <a:endParaRPr lang="es-CR" sz="1200" dirty="0">
            <a:latin typeface="Calibri Light" panose="020F0302020204030204" pitchFamily="34" charset="0"/>
            <a:cs typeface="Calibri Light" panose="020F0302020204030204" pitchFamily="34" charset="0"/>
          </a:endParaRPr>
        </a:p>
      </dgm:t>
    </dgm:pt>
    <dgm:pt modelId="{51660139-72AB-4A86-B763-C69216A4722B}" type="par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52779923-3668-4B37-AF53-1883E1ED8530}" type="sibTrans" cxnId="{6960136C-B037-4EAC-8617-ADC4BFE8CB31}">
      <dgm:prSet/>
      <dgm:spPr/>
      <dgm:t>
        <a:bodyPr/>
        <a:lstStyle/>
        <a:p>
          <a:endParaRPr lang="es-CR" sz="1200">
            <a:latin typeface="Calibri Light" panose="020F0302020204030204" pitchFamily="34" charset="0"/>
            <a:cs typeface="Calibri Light" panose="020F0302020204030204" pitchFamily="34" charset="0"/>
          </a:endParaRPr>
        </a:p>
      </dgm:t>
    </dgm:pt>
    <dgm:pt modelId="{EB9FADAA-5F73-4545-9D14-33398B235240}">
      <dgm:prSet custT="1"/>
      <dgm:spPr/>
      <dgm:t>
        <a:bodyPr/>
        <a:lstStyle/>
        <a:p>
          <a:r>
            <a:rPr lang="es-CR" sz="1200" b="0" i="0" u="none" dirty="0">
              <a:latin typeface="Calibri Light" panose="020F0302020204030204" pitchFamily="34" charset="0"/>
              <a:cs typeface="Calibri Light" panose="020F0302020204030204" pitchFamily="34" charset="0"/>
            </a:rPr>
            <a:t>Profesionalismo</a:t>
          </a:r>
          <a:endParaRPr lang="es-CR" sz="1200" dirty="0">
            <a:latin typeface="Calibri Light" panose="020F0302020204030204" pitchFamily="34" charset="0"/>
            <a:cs typeface="Calibri Light" panose="020F0302020204030204" pitchFamily="34" charset="0"/>
          </a:endParaRPr>
        </a:p>
      </dgm:t>
    </dgm:pt>
    <dgm:pt modelId="{BB2D1496-3057-4E4F-9FFC-D035B42A2DD3}" type="par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655B9840-F787-48B4-AA74-3FD630C25DA8}" type="sibTrans" cxnId="{9DAE7BE4-7E2B-4F59-B7B3-CF9D447B7D9E}">
      <dgm:prSet/>
      <dgm:spPr/>
      <dgm:t>
        <a:bodyPr/>
        <a:lstStyle/>
        <a:p>
          <a:endParaRPr lang="es-CR" sz="1200">
            <a:latin typeface="Calibri Light" panose="020F0302020204030204" pitchFamily="34" charset="0"/>
            <a:cs typeface="Calibri Light" panose="020F0302020204030204" pitchFamily="34" charset="0"/>
          </a:endParaRPr>
        </a:p>
      </dgm:t>
    </dgm:pt>
    <dgm:pt modelId="{9343FBBE-6149-48C7-9CB9-F9537B2700E6}" type="pres">
      <dgm:prSet presAssocID="{0B0AA8EC-5FFF-45C1-B456-96B7328212BD}" presName="Name0" presStyleCnt="0">
        <dgm:presLayoutVars>
          <dgm:dir/>
          <dgm:resizeHandles/>
        </dgm:presLayoutVars>
      </dgm:prSet>
      <dgm:spPr/>
      <dgm:t>
        <a:bodyPr/>
        <a:lstStyle/>
        <a:p>
          <a:endParaRPr lang="es-CR"/>
        </a:p>
      </dgm:t>
    </dgm:pt>
    <dgm:pt modelId="{D469029B-9FED-4D43-A48F-EF2ADF013B5F}" type="pres">
      <dgm:prSet presAssocID="{5272ECA3-6D7E-4148-84F2-E11324F7D346}" presName="compNode" presStyleCnt="0"/>
      <dgm:spPr/>
    </dgm:pt>
    <dgm:pt modelId="{9881DAE0-B479-45B9-8028-14FC6C93DAF3}" type="pres">
      <dgm:prSet presAssocID="{5272ECA3-6D7E-4148-84F2-E11324F7D346}" presName="dummyConnPt" presStyleCnt="0"/>
      <dgm:spPr/>
    </dgm:pt>
    <dgm:pt modelId="{C7C08D54-7B52-4BBA-ADA9-3C78592BB134}" type="pres">
      <dgm:prSet presAssocID="{5272ECA3-6D7E-4148-84F2-E11324F7D346}" presName="node" presStyleLbl="node1" presStyleIdx="0" presStyleCnt="12">
        <dgm:presLayoutVars>
          <dgm:bulletEnabled val="1"/>
        </dgm:presLayoutVars>
      </dgm:prSet>
      <dgm:spPr/>
      <dgm:t>
        <a:bodyPr/>
        <a:lstStyle/>
        <a:p>
          <a:endParaRPr lang="es-CR"/>
        </a:p>
      </dgm:t>
    </dgm:pt>
    <dgm:pt modelId="{8ED95A5E-608E-4434-B587-821CAE67732F}" type="pres">
      <dgm:prSet presAssocID="{3EF37577-E747-4BED-A9D6-813FE32BD7B4}" presName="sibTrans" presStyleLbl="bgSibTrans2D1" presStyleIdx="0" presStyleCnt="11"/>
      <dgm:spPr/>
      <dgm:t>
        <a:bodyPr/>
        <a:lstStyle/>
        <a:p>
          <a:endParaRPr lang="es-CR"/>
        </a:p>
      </dgm:t>
    </dgm:pt>
    <dgm:pt modelId="{47C94E44-0AB4-4AD2-B50F-A65766B61B3D}" type="pres">
      <dgm:prSet presAssocID="{61210CB1-EC93-411F-B263-34D453025FE0}" presName="compNode" presStyleCnt="0"/>
      <dgm:spPr/>
    </dgm:pt>
    <dgm:pt modelId="{47FE76DF-D79B-4B22-B01D-D57C849CBE6B}" type="pres">
      <dgm:prSet presAssocID="{61210CB1-EC93-411F-B263-34D453025FE0}" presName="dummyConnPt" presStyleCnt="0"/>
      <dgm:spPr/>
    </dgm:pt>
    <dgm:pt modelId="{99F9AFA7-62F8-46B9-9E74-97519023D618}" type="pres">
      <dgm:prSet presAssocID="{61210CB1-EC93-411F-B263-34D453025FE0}" presName="node" presStyleLbl="node1" presStyleIdx="1" presStyleCnt="12">
        <dgm:presLayoutVars>
          <dgm:bulletEnabled val="1"/>
        </dgm:presLayoutVars>
      </dgm:prSet>
      <dgm:spPr/>
      <dgm:t>
        <a:bodyPr/>
        <a:lstStyle/>
        <a:p>
          <a:endParaRPr lang="es-CR"/>
        </a:p>
      </dgm:t>
    </dgm:pt>
    <dgm:pt modelId="{34B5E7DD-B853-411E-8FDF-A485D0FBE4EE}" type="pres">
      <dgm:prSet presAssocID="{9532D055-D72E-4590-864D-51D4D4AA8CCC}" presName="sibTrans" presStyleLbl="bgSibTrans2D1" presStyleIdx="1" presStyleCnt="11"/>
      <dgm:spPr/>
      <dgm:t>
        <a:bodyPr/>
        <a:lstStyle/>
        <a:p>
          <a:endParaRPr lang="es-CR"/>
        </a:p>
      </dgm:t>
    </dgm:pt>
    <dgm:pt modelId="{66C785BD-CD45-4C70-A591-550D8CB2CD5A}" type="pres">
      <dgm:prSet presAssocID="{B2506FAF-071D-42E4-A7A4-93E2F7204093}" presName="compNode" presStyleCnt="0"/>
      <dgm:spPr/>
    </dgm:pt>
    <dgm:pt modelId="{D08B39E0-E133-4EB6-9EA1-D1C20E9903FA}" type="pres">
      <dgm:prSet presAssocID="{B2506FAF-071D-42E4-A7A4-93E2F7204093}" presName="dummyConnPt" presStyleCnt="0"/>
      <dgm:spPr/>
    </dgm:pt>
    <dgm:pt modelId="{B429ECDC-2992-45B3-8C28-320F44AEAB31}" type="pres">
      <dgm:prSet presAssocID="{B2506FAF-071D-42E4-A7A4-93E2F7204093}" presName="node" presStyleLbl="node1" presStyleIdx="2" presStyleCnt="12">
        <dgm:presLayoutVars>
          <dgm:bulletEnabled val="1"/>
        </dgm:presLayoutVars>
      </dgm:prSet>
      <dgm:spPr/>
      <dgm:t>
        <a:bodyPr/>
        <a:lstStyle/>
        <a:p>
          <a:endParaRPr lang="es-CR"/>
        </a:p>
      </dgm:t>
    </dgm:pt>
    <dgm:pt modelId="{3EF63115-872E-42A7-B7AF-CFFAA52CDFC6}" type="pres">
      <dgm:prSet presAssocID="{E4A7C6A9-1DBF-46FF-A86F-3171CC3A990A}" presName="sibTrans" presStyleLbl="bgSibTrans2D1" presStyleIdx="2" presStyleCnt="11"/>
      <dgm:spPr/>
      <dgm:t>
        <a:bodyPr/>
        <a:lstStyle/>
        <a:p>
          <a:endParaRPr lang="es-CR"/>
        </a:p>
      </dgm:t>
    </dgm:pt>
    <dgm:pt modelId="{0DEA8D52-B084-44E5-9FF5-0EB7327453C0}" type="pres">
      <dgm:prSet presAssocID="{12CDF033-2BAD-4C37-9E11-81F8199C265A}" presName="compNode" presStyleCnt="0"/>
      <dgm:spPr/>
    </dgm:pt>
    <dgm:pt modelId="{2AE21FCB-ED8A-4D70-9A0C-775095F18529}" type="pres">
      <dgm:prSet presAssocID="{12CDF033-2BAD-4C37-9E11-81F8199C265A}" presName="dummyConnPt" presStyleCnt="0"/>
      <dgm:spPr/>
    </dgm:pt>
    <dgm:pt modelId="{0CCB3F15-FE58-47C2-8B26-9A904F8D7093}" type="pres">
      <dgm:prSet presAssocID="{12CDF033-2BAD-4C37-9E11-81F8199C265A}" presName="node" presStyleLbl="node1" presStyleIdx="3" presStyleCnt="12">
        <dgm:presLayoutVars>
          <dgm:bulletEnabled val="1"/>
        </dgm:presLayoutVars>
      </dgm:prSet>
      <dgm:spPr/>
      <dgm:t>
        <a:bodyPr/>
        <a:lstStyle/>
        <a:p>
          <a:endParaRPr lang="es-CR"/>
        </a:p>
      </dgm:t>
    </dgm:pt>
    <dgm:pt modelId="{5931481F-5DE2-453D-BF1D-14EB26DA3736}" type="pres">
      <dgm:prSet presAssocID="{4040AC3D-7228-4AD9-9B68-5AC0947E0179}" presName="sibTrans" presStyleLbl="bgSibTrans2D1" presStyleIdx="3" presStyleCnt="11"/>
      <dgm:spPr/>
      <dgm:t>
        <a:bodyPr/>
        <a:lstStyle/>
        <a:p>
          <a:endParaRPr lang="es-CR"/>
        </a:p>
      </dgm:t>
    </dgm:pt>
    <dgm:pt modelId="{7D5E59F1-2317-4825-A7B3-FE4AB71D3E61}" type="pres">
      <dgm:prSet presAssocID="{B22A4797-E021-4B58-BAFE-ADD40893C465}" presName="compNode" presStyleCnt="0"/>
      <dgm:spPr/>
    </dgm:pt>
    <dgm:pt modelId="{018BB157-DC4B-4E33-85DB-EBECFA31D57C}" type="pres">
      <dgm:prSet presAssocID="{B22A4797-E021-4B58-BAFE-ADD40893C465}" presName="dummyConnPt" presStyleCnt="0"/>
      <dgm:spPr/>
    </dgm:pt>
    <dgm:pt modelId="{2E4271BD-7AE8-40F5-8DA0-CDD9723A885C}" type="pres">
      <dgm:prSet presAssocID="{B22A4797-E021-4B58-BAFE-ADD40893C465}" presName="node" presStyleLbl="node1" presStyleIdx="4" presStyleCnt="12">
        <dgm:presLayoutVars>
          <dgm:bulletEnabled val="1"/>
        </dgm:presLayoutVars>
      </dgm:prSet>
      <dgm:spPr/>
      <dgm:t>
        <a:bodyPr/>
        <a:lstStyle/>
        <a:p>
          <a:endParaRPr lang="es-CR"/>
        </a:p>
      </dgm:t>
    </dgm:pt>
    <dgm:pt modelId="{81B19432-167F-434D-AC08-3FE0C4BE3670}" type="pres">
      <dgm:prSet presAssocID="{8E6F6C27-4FE9-4FE7-B388-3042CE4C093C}" presName="sibTrans" presStyleLbl="bgSibTrans2D1" presStyleIdx="4" presStyleCnt="11"/>
      <dgm:spPr/>
      <dgm:t>
        <a:bodyPr/>
        <a:lstStyle/>
        <a:p>
          <a:endParaRPr lang="es-CR"/>
        </a:p>
      </dgm:t>
    </dgm:pt>
    <dgm:pt modelId="{29048B10-5ED5-4DC7-896A-B401F6C03AF2}" type="pres">
      <dgm:prSet presAssocID="{B5880823-1140-4D23-AF28-AFC9DA90CC74}" presName="compNode" presStyleCnt="0"/>
      <dgm:spPr/>
    </dgm:pt>
    <dgm:pt modelId="{5A14D08E-9B4A-4582-8C58-7AD089783B7F}" type="pres">
      <dgm:prSet presAssocID="{B5880823-1140-4D23-AF28-AFC9DA90CC74}" presName="dummyConnPt" presStyleCnt="0"/>
      <dgm:spPr/>
    </dgm:pt>
    <dgm:pt modelId="{AFB31D54-AD73-4BB5-A3EB-D865A0FF4023}" type="pres">
      <dgm:prSet presAssocID="{B5880823-1140-4D23-AF28-AFC9DA90CC74}" presName="node" presStyleLbl="node1" presStyleIdx="5" presStyleCnt="12">
        <dgm:presLayoutVars>
          <dgm:bulletEnabled val="1"/>
        </dgm:presLayoutVars>
      </dgm:prSet>
      <dgm:spPr/>
      <dgm:t>
        <a:bodyPr/>
        <a:lstStyle/>
        <a:p>
          <a:endParaRPr lang="es-CR"/>
        </a:p>
      </dgm:t>
    </dgm:pt>
    <dgm:pt modelId="{B4394E1B-4652-43D3-BC4C-FAAC575008A9}" type="pres">
      <dgm:prSet presAssocID="{F4D08D28-947E-4A2A-BE3A-825E0728C6EE}" presName="sibTrans" presStyleLbl="bgSibTrans2D1" presStyleIdx="5" presStyleCnt="11"/>
      <dgm:spPr/>
      <dgm:t>
        <a:bodyPr/>
        <a:lstStyle/>
        <a:p>
          <a:endParaRPr lang="es-CR"/>
        </a:p>
      </dgm:t>
    </dgm:pt>
    <dgm:pt modelId="{EB430788-D0FE-4CCE-9009-B9DD49633E88}" type="pres">
      <dgm:prSet presAssocID="{63DDF533-2B57-4FE6-A40B-78EA62790E55}" presName="compNode" presStyleCnt="0"/>
      <dgm:spPr/>
    </dgm:pt>
    <dgm:pt modelId="{A7654F80-FCB2-47D5-A9E6-4BECE947773C}" type="pres">
      <dgm:prSet presAssocID="{63DDF533-2B57-4FE6-A40B-78EA62790E55}" presName="dummyConnPt" presStyleCnt="0"/>
      <dgm:spPr/>
    </dgm:pt>
    <dgm:pt modelId="{DF2955F7-6D3F-4B16-B703-CF594F48237F}" type="pres">
      <dgm:prSet presAssocID="{63DDF533-2B57-4FE6-A40B-78EA62790E55}" presName="node" presStyleLbl="node1" presStyleIdx="6" presStyleCnt="12">
        <dgm:presLayoutVars>
          <dgm:bulletEnabled val="1"/>
        </dgm:presLayoutVars>
      </dgm:prSet>
      <dgm:spPr/>
      <dgm:t>
        <a:bodyPr/>
        <a:lstStyle/>
        <a:p>
          <a:endParaRPr lang="es-CR"/>
        </a:p>
      </dgm:t>
    </dgm:pt>
    <dgm:pt modelId="{7DF863D4-AFB6-484D-9C9F-9B16A858E20F}" type="pres">
      <dgm:prSet presAssocID="{C3CFF9BB-AC83-4489-90DF-AC9F8A2134E0}" presName="sibTrans" presStyleLbl="bgSibTrans2D1" presStyleIdx="6" presStyleCnt="11"/>
      <dgm:spPr/>
      <dgm:t>
        <a:bodyPr/>
        <a:lstStyle/>
        <a:p>
          <a:endParaRPr lang="es-CR"/>
        </a:p>
      </dgm:t>
    </dgm:pt>
    <dgm:pt modelId="{221A782C-6698-4A67-B5A9-3819E4357D53}" type="pres">
      <dgm:prSet presAssocID="{44CBAE36-089B-46F6-AE1B-ADC7881B1F3B}" presName="compNode" presStyleCnt="0"/>
      <dgm:spPr/>
    </dgm:pt>
    <dgm:pt modelId="{481E5B1C-391E-4896-9E70-1B20012D414F}" type="pres">
      <dgm:prSet presAssocID="{44CBAE36-089B-46F6-AE1B-ADC7881B1F3B}" presName="dummyConnPt" presStyleCnt="0"/>
      <dgm:spPr/>
    </dgm:pt>
    <dgm:pt modelId="{AFEEEF70-CCCF-4636-A964-404344D16708}" type="pres">
      <dgm:prSet presAssocID="{44CBAE36-089B-46F6-AE1B-ADC7881B1F3B}" presName="node" presStyleLbl="node1" presStyleIdx="7" presStyleCnt="12">
        <dgm:presLayoutVars>
          <dgm:bulletEnabled val="1"/>
        </dgm:presLayoutVars>
      </dgm:prSet>
      <dgm:spPr/>
      <dgm:t>
        <a:bodyPr/>
        <a:lstStyle/>
        <a:p>
          <a:endParaRPr lang="es-CR"/>
        </a:p>
      </dgm:t>
    </dgm:pt>
    <dgm:pt modelId="{E060EA38-466F-4873-9EBA-42AB65AE4CF6}" type="pres">
      <dgm:prSet presAssocID="{EF37C808-4160-4921-9C1C-25A5EE10EDAE}" presName="sibTrans" presStyleLbl="bgSibTrans2D1" presStyleIdx="7" presStyleCnt="11"/>
      <dgm:spPr/>
      <dgm:t>
        <a:bodyPr/>
        <a:lstStyle/>
        <a:p>
          <a:endParaRPr lang="es-CR"/>
        </a:p>
      </dgm:t>
    </dgm:pt>
    <dgm:pt modelId="{10605FF1-D7B2-4136-A758-5186D6A171BF}" type="pres">
      <dgm:prSet presAssocID="{1500A433-B21F-44C6-A17B-D1697BCEAF5F}" presName="compNode" presStyleCnt="0"/>
      <dgm:spPr/>
    </dgm:pt>
    <dgm:pt modelId="{3525385F-2E3F-46A1-92B4-178FEE8C1898}" type="pres">
      <dgm:prSet presAssocID="{1500A433-B21F-44C6-A17B-D1697BCEAF5F}" presName="dummyConnPt" presStyleCnt="0"/>
      <dgm:spPr/>
    </dgm:pt>
    <dgm:pt modelId="{CC1B5ADF-1ABA-4984-8FC5-4BE2F329348A}" type="pres">
      <dgm:prSet presAssocID="{1500A433-B21F-44C6-A17B-D1697BCEAF5F}" presName="node" presStyleLbl="node1" presStyleIdx="8" presStyleCnt="12">
        <dgm:presLayoutVars>
          <dgm:bulletEnabled val="1"/>
        </dgm:presLayoutVars>
      </dgm:prSet>
      <dgm:spPr/>
      <dgm:t>
        <a:bodyPr/>
        <a:lstStyle/>
        <a:p>
          <a:endParaRPr lang="es-CR"/>
        </a:p>
      </dgm:t>
    </dgm:pt>
    <dgm:pt modelId="{7E95C6FB-49FC-41F8-B872-EF61B83CAF38}" type="pres">
      <dgm:prSet presAssocID="{4D627C86-8591-4844-8747-13D591A21AB5}" presName="sibTrans" presStyleLbl="bgSibTrans2D1" presStyleIdx="8" presStyleCnt="11"/>
      <dgm:spPr/>
      <dgm:t>
        <a:bodyPr/>
        <a:lstStyle/>
        <a:p>
          <a:endParaRPr lang="es-CR"/>
        </a:p>
      </dgm:t>
    </dgm:pt>
    <dgm:pt modelId="{5A585F22-84F8-4E99-BDC0-9FA4070A34AB}" type="pres">
      <dgm:prSet presAssocID="{BC071A98-4837-4487-A8A6-C77F8763EFD1}" presName="compNode" presStyleCnt="0"/>
      <dgm:spPr/>
    </dgm:pt>
    <dgm:pt modelId="{22AE7BC9-C4C9-4550-BAC4-5A289F3E9F8F}" type="pres">
      <dgm:prSet presAssocID="{BC071A98-4837-4487-A8A6-C77F8763EFD1}" presName="dummyConnPt" presStyleCnt="0"/>
      <dgm:spPr/>
    </dgm:pt>
    <dgm:pt modelId="{172F204F-64F9-4436-BD15-66B947391464}" type="pres">
      <dgm:prSet presAssocID="{BC071A98-4837-4487-A8A6-C77F8763EFD1}" presName="node" presStyleLbl="node1" presStyleIdx="9" presStyleCnt="12">
        <dgm:presLayoutVars>
          <dgm:bulletEnabled val="1"/>
        </dgm:presLayoutVars>
      </dgm:prSet>
      <dgm:spPr/>
      <dgm:t>
        <a:bodyPr/>
        <a:lstStyle/>
        <a:p>
          <a:endParaRPr lang="es-CR"/>
        </a:p>
      </dgm:t>
    </dgm:pt>
    <dgm:pt modelId="{07CADE28-DC9C-4BAC-85A4-656E35D6A9AB}" type="pres">
      <dgm:prSet presAssocID="{6EE757AD-74E3-4221-8A48-5E322289C3E2}" presName="sibTrans" presStyleLbl="bgSibTrans2D1" presStyleIdx="9" presStyleCnt="11"/>
      <dgm:spPr/>
      <dgm:t>
        <a:bodyPr/>
        <a:lstStyle/>
        <a:p>
          <a:endParaRPr lang="es-CR"/>
        </a:p>
      </dgm:t>
    </dgm:pt>
    <dgm:pt modelId="{F6EF8362-0D18-4F61-BFA3-55FFC370B461}" type="pres">
      <dgm:prSet presAssocID="{B20639BF-4F47-49AD-895F-B0E793648380}" presName="compNode" presStyleCnt="0"/>
      <dgm:spPr/>
    </dgm:pt>
    <dgm:pt modelId="{C4527338-8ACF-464B-A28E-AEDB7E763BB6}" type="pres">
      <dgm:prSet presAssocID="{B20639BF-4F47-49AD-895F-B0E793648380}" presName="dummyConnPt" presStyleCnt="0"/>
      <dgm:spPr/>
    </dgm:pt>
    <dgm:pt modelId="{158B4C93-E9DD-497E-8F89-8F9D5FE03B68}" type="pres">
      <dgm:prSet presAssocID="{B20639BF-4F47-49AD-895F-B0E793648380}" presName="node" presStyleLbl="node1" presStyleIdx="10" presStyleCnt="12">
        <dgm:presLayoutVars>
          <dgm:bulletEnabled val="1"/>
        </dgm:presLayoutVars>
      </dgm:prSet>
      <dgm:spPr/>
      <dgm:t>
        <a:bodyPr/>
        <a:lstStyle/>
        <a:p>
          <a:endParaRPr lang="es-CR"/>
        </a:p>
      </dgm:t>
    </dgm:pt>
    <dgm:pt modelId="{658259E2-33C5-4243-8097-08F85166A6B1}" type="pres">
      <dgm:prSet presAssocID="{52779923-3668-4B37-AF53-1883E1ED8530}" presName="sibTrans" presStyleLbl="bgSibTrans2D1" presStyleIdx="10" presStyleCnt="11"/>
      <dgm:spPr/>
      <dgm:t>
        <a:bodyPr/>
        <a:lstStyle/>
        <a:p>
          <a:endParaRPr lang="es-CR"/>
        </a:p>
      </dgm:t>
    </dgm:pt>
    <dgm:pt modelId="{D861BFEC-D153-4F2C-BC0C-77F04D185157}" type="pres">
      <dgm:prSet presAssocID="{EB9FADAA-5F73-4545-9D14-33398B235240}" presName="compNode" presStyleCnt="0"/>
      <dgm:spPr/>
    </dgm:pt>
    <dgm:pt modelId="{C742B167-1F43-467E-A870-1A6EF968EA18}" type="pres">
      <dgm:prSet presAssocID="{EB9FADAA-5F73-4545-9D14-33398B235240}" presName="dummyConnPt" presStyleCnt="0"/>
      <dgm:spPr/>
    </dgm:pt>
    <dgm:pt modelId="{B292B7A8-B093-4501-905D-4F0E7D9349D6}" type="pres">
      <dgm:prSet presAssocID="{EB9FADAA-5F73-4545-9D14-33398B235240}" presName="node" presStyleLbl="node1" presStyleIdx="11" presStyleCnt="12">
        <dgm:presLayoutVars>
          <dgm:bulletEnabled val="1"/>
        </dgm:presLayoutVars>
      </dgm:prSet>
      <dgm:spPr/>
      <dgm:t>
        <a:bodyPr/>
        <a:lstStyle/>
        <a:p>
          <a:endParaRPr lang="es-CR"/>
        </a:p>
      </dgm:t>
    </dgm:pt>
  </dgm:ptLst>
  <dgm:cxnLst>
    <dgm:cxn modelId="{6960136C-B037-4EAC-8617-ADC4BFE8CB31}" srcId="{0B0AA8EC-5FFF-45C1-B456-96B7328212BD}" destId="{B20639BF-4F47-49AD-895F-B0E793648380}" srcOrd="10" destOrd="0" parTransId="{51660139-72AB-4A86-B763-C69216A4722B}" sibTransId="{52779923-3668-4B37-AF53-1883E1ED8530}"/>
    <dgm:cxn modelId="{C0087881-E3CB-42AE-A8D2-A6EB19A30917}" srcId="{0B0AA8EC-5FFF-45C1-B456-96B7328212BD}" destId="{BC071A98-4837-4487-A8A6-C77F8763EFD1}" srcOrd="9" destOrd="0" parTransId="{EFEEC18B-A13B-4601-8392-DC6A6F565B7C}" sibTransId="{6EE757AD-74E3-4221-8A48-5E322289C3E2}"/>
    <dgm:cxn modelId="{A1D529BB-4320-4914-8DC8-EFDF6A3FC33D}" type="presOf" srcId="{C3CFF9BB-AC83-4489-90DF-AC9F8A2134E0}" destId="{7DF863D4-AFB6-484D-9C9F-9B16A858E20F}" srcOrd="0" destOrd="0" presId="urn:microsoft.com/office/officeart/2005/8/layout/bProcess4"/>
    <dgm:cxn modelId="{C61BAA98-223D-49FA-A006-B26280DF9204}" type="presOf" srcId="{8E6F6C27-4FE9-4FE7-B388-3042CE4C093C}" destId="{81B19432-167F-434D-AC08-3FE0C4BE3670}" srcOrd="0" destOrd="0" presId="urn:microsoft.com/office/officeart/2005/8/layout/bProcess4"/>
    <dgm:cxn modelId="{F7D686E1-1756-4277-8CA8-8E95B13DB51A}" srcId="{0B0AA8EC-5FFF-45C1-B456-96B7328212BD}" destId="{1500A433-B21F-44C6-A17B-D1697BCEAF5F}" srcOrd="8" destOrd="0" parTransId="{DDA6C987-5C47-4279-9F26-DC68790A26D3}" sibTransId="{4D627C86-8591-4844-8747-13D591A21AB5}"/>
    <dgm:cxn modelId="{713D87A4-2200-4FE0-94B3-11B05C4E87F9}" type="presOf" srcId="{9532D055-D72E-4590-864D-51D4D4AA8CCC}" destId="{34B5E7DD-B853-411E-8FDF-A485D0FBE4EE}" srcOrd="0" destOrd="0" presId="urn:microsoft.com/office/officeart/2005/8/layout/bProcess4"/>
    <dgm:cxn modelId="{4912F2DB-417C-482F-AAAA-7BCB153BF1D7}" srcId="{0B0AA8EC-5FFF-45C1-B456-96B7328212BD}" destId="{B2506FAF-071D-42E4-A7A4-93E2F7204093}" srcOrd="2" destOrd="0" parTransId="{F99F8E6A-7DF7-45C9-A47E-5E7B72A09972}" sibTransId="{E4A7C6A9-1DBF-46FF-A86F-3171CC3A990A}"/>
    <dgm:cxn modelId="{ED7A78E8-C0FF-425E-A8C5-5C5B9C2AD178}" type="presOf" srcId="{52779923-3668-4B37-AF53-1883E1ED8530}" destId="{658259E2-33C5-4243-8097-08F85166A6B1}" srcOrd="0" destOrd="0" presId="urn:microsoft.com/office/officeart/2005/8/layout/bProcess4"/>
    <dgm:cxn modelId="{2D01FE85-2895-45E4-B6BD-73129B0DEBB3}" srcId="{0B0AA8EC-5FFF-45C1-B456-96B7328212BD}" destId="{B5880823-1140-4D23-AF28-AFC9DA90CC74}" srcOrd="5" destOrd="0" parTransId="{B7B34B31-2089-4EE3-BEB9-00ED62BEDB46}" sibTransId="{F4D08D28-947E-4A2A-BE3A-825E0728C6EE}"/>
    <dgm:cxn modelId="{DFCCCD6F-7107-4AF1-BB23-5690DDEA633A}" type="presOf" srcId="{4040AC3D-7228-4AD9-9B68-5AC0947E0179}" destId="{5931481F-5DE2-453D-BF1D-14EB26DA3736}" srcOrd="0" destOrd="0" presId="urn:microsoft.com/office/officeart/2005/8/layout/bProcess4"/>
    <dgm:cxn modelId="{170270BF-0C7B-4107-B619-BEF5FC75D84C}" srcId="{0B0AA8EC-5FFF-45C1-B456-96B7328212BD}" destId="{12CDF033-2BAD-4C37-9E11-81F8199C265A}" srcOrd="3" destOrd="0" parTransId="{65CDF54F-F86F-432B-9150-EF725AE010BB}" sibTransId="{4040AC3D-7228-4AD9-9B68-5AC0947E0179}"/>
    <dgm:cxn modelId="{D89B9BA8-135A-45EF-B4F4-46F69D05FF71}" type="presOf" srcId="{EB9FADAA-5F73-4545-9D14-33398B235240}" destId="{B292B7A8-B093-4501-905D-4F0E7D9349D6}" srcOrd="0" destOrd="0" presId="urn:microsoft.com/office/officeart/2005/8/layout/bProcess4"/>
    <dgm:cxn modelId="{DCB9D991-EFE1-4718-8B21-A021C9EB8C20}" type="presOf" srcId="{B5880823-1140-4D23-AF28-AFC9DA90CC74}" destId="{AFB31D54-AD73-4BB5-A3EB-D865A0FF4023}" srcOrd="0" destOrd="0" presId="urn:microsoft.com/office/officeart/2005/8/layout/bProcess4"/>
    <dgm:cxn modelId="{6576FFE0-856B-4030-80B2-FF85E5EF9805}" srcId="{0B0AA8EC-5FFF-45C1-B456-96B7328212BD}" destId="{B22A4797-E021-4B58-BAFE-ADD40893C465}" srcOrd="4" destOrd="0" parTransId="{ED933D73-A17B-48DF-AF45-A245DE86FC72}" sibTransId="{8E6F6C27-4FE9-4FE7-B388-3042CE4C093C}"/>
    <dgm:cxn modelId="{094EED39-C372-45A8-8940-3FE9D6A84FC8}" type="presOf" srcId="{63DDF533-2B57-4FE6-A40B-78EA62790E55}" destId="{DF2955F7-6D3F-4B16-B703-CF594F48237F}" srcOrd="0" destOrd="0" presId="urn:microsoft.com/office/officeart/2005/8/layout/bProcess4"/>
    <dgm:cxn modelId="{09A3C54C-6610-4CD7-8525-6B0E50AD6BA1}" type="presOf" srcId="{EF37C808-4160-4921-9C1C-25A5EE10EDAE}" destId="{E060EA38-466F-4873-9EBA-42AB65AE4CF6}" srcOrd="0" destOrd="0" presId="urn:microsoft.com/office/officeart/2005/8/layout/bProcess4"/>
    <dgm:cxn modelId="{FEAC6342-ACD1-4B41-8CD0-3CF2FF541908}" srcId="{0B0AA8EC-5FFF-45C1-B456-96B7328212BD}" destId="{63DDF533-2B57-4FE6-A40B-78EA62790E55}" srcOrd="6" destOrd="0" parTransId="{8DC04ECD-4766-4986-B153-A97BFFC27554}" sibTransId="{C3CFF9BB-AC83-4489-90DF-AC9F8A2134E0}"/>
    <dgm:cxn modelId="{73C589E3-0D7C-429A-95FC-3726754A4F7D}" type="presOf" srcId="{61210CB1-EC93-411F-B263-34D453025FE0}" destId="{99F9AFA7-62F8-46B9-9E74-97519023D618}" srcOrd="0" destOrd="0" presId="urn:microsoft.com/office/officeart/2005/8/layout/bProcess4"/>
    <dgm:cxn modelId="{8336D80F-52AB-4489-886D-5911928898D4}" srcId="{0B0AA8EC-5FFF-45C1-B456-96B7328212BD}" destId="{61210CB1-EC93-411F-B263-34D453025FE0}" srcOrd="1" destOrd="0" parTransId="{DEEC1A27-D578-4F18-945B-0DBEB8083F14}" sibTransId="{9532D055-D72E-4590-864D-51D4D4AA8CCC}"/>
    <dgm:cxn modelId="{7A89339F-0082-44D9-ABF5-A13A78BC042E}" srcId="{0B0AA8EC-5FFF-45C1-B456-96B7328212BD}" destId="{5272ECA3-6D7E-4148-84F2-E11324F7D346}" srcOrd="0" destOrd="0" parTransId="{3C9EABAF-ED6E-45B4-8F1A-5AE4B93529E6}" sibTransId="{3EF37577-E747-4BED-A9D6-813FE32BD7B4}"/>
    <dgm:cxn modelId="{F90167C4-34D8-4A6E-973B-515DD08854FD}" type="presOf" srcId="{5272ECA3-6D7E-4148-84F2-E11324F7D346}" destId="{C7C08D54-7B52-4BBA-ADA9-3C78592BB134}" srcOrd="0" destOrd="0" presId="urn:microsoft.com/office/officeart/2005/8/layout/bProcess4"/>
    <dgm:cxn modelId="{9DAE7BE4-7E2B-4F59-B7B3-CF9D447B7D9E}" srcId="{0B0AA8EC-5FFF-45C1-B456-96B7328212BD}" destId="{EB9FADAA-5F73-4545-9D14-33398B235240}" srcOrd="11" destOrd="0" parTransId="{BB2D1496-3057-4E4F-9FFC-D035B42A2DD3}" sibTransId="{655B9840-F787-48B4-AA74-3FD630C25DA8}"/>
    <dgm:cxn modelId="{C10562C9-38DC-44C4-819A-8359F8557030}" type="presOf" srcId="{6EE757AD-74E3-4221-8A48-5E322289C3E2}" destId="{07CADE28-DC9C-4BAC-85A4-656E35D6A9AB}" srcOrd="0" destOrd="0" presId="urn:microsoft.com/office/officeart/2005/8/layout/bProcess4"/>
    <dgm:cxn modelId="{7AC8BB75-3D6E-4971-914E-CD50834BEBC5}" type="presOf" srcId="{B2506FAF-071D-42E4-A7A4-93E2F7204093}" destId="{B429ECDC-2992-45B3-8C28-320F44AEAB31}" srcOrd="0" destOrd="0" presId="urn:microsoft.com/office/officeart/2005/8/layout/bProcess4"/>
    <dgm:cxn modelId="{6227F5EC-20DB-48C2-8D32-EED258107B7E}" type="presOf" srcId="{F4D08D28-947E-4A2A-BE3A-825E0728C6EE}" destId="{B4394E1B-4652-43D3-BC4C-FAAC575008A9}" srcOrd="0" destOrd="0" presId="urn:microsoft.com/office/officeart/2005/8/layout/bProcess4"/>
    <dgm:cxn modelId="{FF9EB572-1DF3-4395-8ED1-A2929C33ACA6}" type="presOf" srcId="{44CBAE36-089B-46F6-AE1B-ADC7881B1F3B}" destId="{AFEEEF70-CCCF-4636-A964-404344D16708}" srcOrd="0" destOrd="0" presId="urn:microsoft.com/office/officeart/2005/8/layout/bProcess4"/>
    <dgm:cxn modelId="{D001D7BE-CD29-4407-82D7-032C4E388D87}" type="presOf" srcId="{3EF37577-E747-4BED-A9D6-813FE32BD7B4}" destId="{8ED95A5E-608E-4434-B587-821CAE67732F}" srcOrd="0" destOrd="0" presId="urn:microsoft.com/office/officeart/2005/8/layout/bProcess4"/>
    <dgm:cxn modelId="{639B28C2-2453-4A33-8EB8-AA3B53886743}" type="presOf" srcId="{B20639BF-4F47-49AD-895F-B0E793648380}" destId="{158B4C93-E9DD-497E-8F89-8F9D5FE03B68}" srcOrd="0" destOrd="0" presId="urn:microsoft.com/office/officeart/2005/8/layout/bProcess4"/>
    <dgm:cxn modelId="{04961329-5058-4BC5-A629-5B73C6353BC8}" type="presOf" srcId="{B22A4797-E021-4B58-BAFE-ADD40893C465}" destId="{2E4271BD-7AE8-40F5-8DA0-CDD9723A885C}" srcOrd="0" destOrd="0" presId="urn:microsoft.com/office/officeart/2005/8/layout/bProcess4"/>
    <dgm:cxn modelId="{352EFEE7-974F-4819-8B66-C4456C4FBB18}" srcId="{0B0AA8EC-5FFF-45C1-B456-96B7328212BD}" destId="{44CBAE36-089B-46F6-AE1B-ADC7881B1F3B}" srcOrd="7" destOrd="0" parTransId="{8F65953A-7CB8-4F4B-B269-5315ABBA4DDA}" sibTransId="{EF37C808-4160-4921-9C1C-25A5EE10EDAE}"/>
    <dgm:cxn modelId="{88ED83C0-C0E9-4EDF-8E09-08B9AEF4D3F1}" type="presOf" srcId="{E4A7C6A9-1DBF-46FF-A86F-3171CC3A990A}" destId="{3EF63115-872E-42A7-B7AF-CFFAA52CDFC6}" srcOrd="0" destOrd="0" presId="urn:microsoft.com/office/officeart/2005/8/layout/bProcess4"/>
    <dgm:cxn modelId="{AA8115C2-48DC-48B1-BA12-D036ABFB3232}" type="presOf" srcId="{1500A433-B21F-44C6-A17B-D1697BCEAF5F}" destId="{CC1B5ADF-1ABA-4984-8FC5-4BE2F329348A}" srcOrd="0" destOrd="0" presId="urn:microsoft.com/office/officeart/2005/8/layout/bProcess4"/>
    <dgm:cxn modelId="{1EF8B973-98B0-4413-BF51-5A5625A62459}" type="presOf" srcId="{0B0AA8EC-5FFF-45C1-B456-96B7328212BD}" destId="{9343FBBE-6149-48C7-9CB9-F9537B2700E6}" srcOrd="0" destOrd="0" presId="urn:microsoft.com/office/officeart/2005/8/layout/bProcess4"/>
    <dgm:cxn modelId="{1AF99C0F-5B4D-4770-8996-D4C3AE8675FB}" type="presOf" srcId="{4D627C86-8591-4844-8747-13D591A21AB5}" destId="{7E95C6FB-49FC-41F8-B872-EF61B83CAF38}" srcOrd="0" destOrd="0" presId="urn:microsoft.com/office/officeart/2005/8/layout/bProcess4"/>
    <dgm:cxn modelId="{AEE81ABC-1909-4D3E-9AA6-6BA6574184C4}" type="presOf" srcId="{12CDF033-2BAD-4C37-9E11-81F8199C265A}" destId="{0CCB3F15-FE58-47C2-8B26-9A904F8D7093}" srcOrd="0" destOrd="0" presId="urn:microsoft.com/office/officeart/2005/8/layout/bProcess4"/>
    <dgm:cxn modelId="{2C254067-A3FF-4F84-9BC9-C19F7B361F43}" type="presOf" srcId="{BC071A98-4837-4487-A8A6-C77F8763EFD1}" destId="{172F204F-64F9-4436-BD15-66B947391464}" srcOrd="0" destOrd="0" presId="urn:microsoft.com/office/officeart/2005/8/layout/bProcess4"/>
    <dgm:cxn modelId="{659DBE97-CB13-46D0-A9C0-F37D8D036B21}" type="presParOf" srcId="{9343FBBE-6149-48C7-9CB9-F9537B2700E6}" destId="{D469029B-9FED-4D43-A48F-EF2ADF013B5F}" srcOrd="0" destOrd="0" presId="urn:microsoft.com/office/officeart/2005/8/layout/bProcess4"/>
    <dgm:cxn modelId="{C338DDEF-3916-4E40-A741-FA27E4ECCFF7}" type="presParOf" srcId="{D469029B-9FED-4D43-A48F-EF2ADF013B5F}" destId="{9881DAE0-B479-45B9-8028-14FC6C93DAF3}" srcOrd="0" destOrd="0" presId="urn:microsoft.com/office/officeart/2005/8/layout/bProcess4"/>
    <dgm:cxn modelId="{222CFCA4-E34D-456E-976A-1E711857F568}" type="presParOf" srcId="{D469029B-9FED-4D43-A48F-EF2ADF013B5F}" destId="{C7C08D54-7B52-4BBA-ADA9-3C78592BB134}" srcOrd="1" destOrd="0" presId="urn:microsoft.com/office/officeart/2005/8/layout/bProcess4"/>
    <dgm:cxn modelId="{159D2DCE-15CE-4179-8143-AF37608C53B6}" type="presParOf" srcId="{9343FBBE-6149-48C7-9CB9-F9537B2700E6}" destId="{8ED95A5E-608E-4434-B587-821CAE67732F}" srcOrd="1" destOrd="0" presId="urn:microsoft.com/office/officeart/2005/8/layout/bProcess4"/>
    <dgm:cxn modelId="{F8909D15-3EEA-4AD2-9D28-4C8F24A11446}" type="presParOf" srcId="{9343FBBE-6149-48C7-9CB9-F9537B2700E6}" destId="{47C94E44-0AB4-4AD2-B50F-A65766B61B3D}" srcOrd="2" destOrd="0" presId="urn:microsoft.com/office/officeart/2005/8/layout/bProcess4"/>
    <dgm:cxn modelId="{B534991A-47BB-4411-A1CA-BC45A7985B0C}" type="presParOf" srcId="{47C94E44-0AB4-4AD2-B50F-A65766B61B3D}" destId="{47FE76DF-D79B-4B22-B01D-D57C849CBE6B}" srcOrd="0" destOrd="0" presId="urn:microsoft.com/office/officeart/2005/8/layout/bProcess4"/>
    <dgm:cxn modelId="{C9DCFFA4-A396-4580-BB97-642230EE5934}" type="presParOf" srcId="{47C94E44-0AB4-4AD2-B50F-A65766B61B3D}" destId="{99F9AFA7-62F8-46B9-9E74-97519023D618}" srcOrd="1" destOrd="0" presId="urn:microsoft.com/office/officeart/2005/8/layout/bProcess4"/>
    <dgm:cxn modelId="{2C432061-FF34-49AE-831F-95F53F8BD8C9}" type="presParOf" srcId="{9343FBBE-6149-48C7-9CB9-F9537B2700E6}" destId="{34B5E7DD-B853-411E-8FDF-A485D0FBE4EE}" srcOrd="3" destOrd="0" presId="urn:microsoft.com/office/officeart/2005/8/layout/bProcess4"/>
    <dgm:cxn modelId="{082B8B9E-656D-4F30-84E0-174B6100A8DC}" type="presParOf" srcId="{9343FBBE-6149-48C7-9CB9-F9537B2700E6}" destId="{66C785BD-CD45-4C70-A591-550D8CB2CD5A}" srcOrd="4" destOrd="0" presId="urn:microsoft.com/office/officeart/2005/8/layout/bProcess4"/>
    <dgm:cxn modelId="{B543709D-9E4F-43CA-B195-C08D07A59FDD}" type="presParOf" srcId="{66C785BD-CD45-4C70-A591-550D8CB2CD5A}" destId="{D08B39E0-E133-4EB6-9EA1-D1C20E9903FA}" srcOrd="0" destOrd="0" presId="urn:microsoft.com/office/officeart/2005/8/layout/bProcess4"/>
    <dgm:cxn modelId="{7C10DFE7-8B38-46AB-BB07-7C4F2F3822F9}" type="presParOf" srcId="{66C785BD-CD45-4C70-A591-550D8CB2CD5A}" destId="{B429ECDC-2992-45B3-8C28-320F44AEAB31}" srcOrd="1" destOrd="0" presId="urn:microsoft.com/office/officeart/2005/8/layout/bProcess4"/>
    <dgm:cxn modelId="{AA447C8F-9A77-4106-9591-62F2C8CAD73F}" type="presParOf" srcId="{9343FBBE-6149-48C7-9CB9-F9537B2700E6}" destId="{3EF63115-872E-42A7-B7AF-CFFAA52CDFC6}" srcOrd="5" destOrd="0" presId="urn:microsoft.com/office/officeart/2005/8/layout/bProcess4"/>
    <dgm:cxn modelId="{064B23C3-0D56-4682-9D63-81E3D7441B4D}" type="presParOf" srcId="{9343FBBE-6149-48C7-9CB9-F9537B2700E6}" destId="{0DEA8D52-B084-44E5-9FF5-0EB7327453C0}" srcOrd="6" destOrd="0" presId="urn:microsoft.com/office/officeart/2005/8/layout/bProcess4"/>
    <dgm:cxn modelId="{F11FD274-4989-429C-B0B4-1DD8E445C33F}" type="presParOf" srcId="{0DEA8D52-B084-44E5-9FF5-0EB7327453C0}" destId="{2AE21FCB-ED8A-4D70-9A0C-775095F18529}" srcOrd="0" destOrd="0" presId="urn:microsoft.com/office/officeart/2005/8/layout/bProcess4"/>
    <dgm:cxn modelId="{C4858B4B-D06D-4204-AE38-38527D82A1C0}" type="presParOf" srcId="{0DEA8D52-B084-44E5-9FF5-0EB7327453C0}" destId="{0CCB3F15-FE58-47C2-8B26-9A904F8D7093}" srcOrd="1" destOrd="0" presId="urn:microsoft.com/office/officeart/2005/8/layout/bProcess4"/>
    <dgm:cxn modelId="{32526CFE-200C-4B1E-88BD-F3D30D7CAF7D}" type="presParOf" srcId="{9343FBBE-6149-48C7-9CB9-F9537B2700E6}" destId="{5931481F-5DE2-453D-BF1D-14EB26DA3736}" srcOrd="7" destOrd="0" presId="urn:microsoft.com/office/officeart/2005/8/layout/bProcess4"/>
    <dgm:cxn modelId="{B2801D9F-610A-42CA-B0FC-4DA52172165E}" type="presParOf" srcId="{9343FBBE-6149-48C7-9CB9-F9537B2700E6}" destId="{7D5E59F1-2317-4825-A7B3-FE4AB71D3E61}" srcOrd="8" destOrd="0" presId="urn:microsoft.com/office/officeart/2005/8/layout/bProcess4"/>
    <dgm:cxn modelId="{CB6C13B5-FEE0-45E7-AF90-BA2036FA020A}" type="presParOf" srcId="{7D5E59F1-2317-4825-A7B3-FE4AB71D3E61}" destId="{018BB157-DC4B-4E33-85DB-EBECFA31D57C}" srcOrd="0" destOrd="0" presId="urn:microsoft.com/office/officeart/2005/8/layout/bProcess4"/>
    <dgm:cxn modelId="{B184B791-A146-4059-AB5F-4F2439096098}" type="presParOf" srcId="{7D5E59F1-2317-4825-A7B3-FE4AB71D3E61}" destId="{2E4271BD-7AE8-40F5-8DA0-CDD9723A885C}" srcOrd="1" destOrd="0" presId="urn:microsoft.com/office/officeart/2005/8/layout/bProcess4"/>
    <dgm:cxn modelId="{C9AF410F-18E6-4A8A-BCD1-881CC254A2B0}" type="presParOf" srcId="{9343FBBE-6149-48C7-9CB9-F9537B2700E6}" destId="{81B19432-167F-434D-AC08-3FE0C4BE3670}" srcOrd="9" destOrd="0" presId="urn:microsoft.com/office/officeart/2005/8/layout/bProcess4"/>
    <dgm:cxn modelId="{81A71AA3-0AF2-4055-B9AC-3185B160B6C0}" type="presParOf" srcId="{9343FBBE-6149-48C7-9CB9-F9537B2700E6}" destId="{29048B10-5ED5-4DC7-896A-B401F6C03AF2}" srcOrd="10" destOrd="0" presId="urn:microsoft.com/office/officeart/2005/8/layout/bProcess4"/>
    <dgm:cxn modelId="{94F382C6-4A9C-4F03-9427-E8D5AF337A12}" type="presParOf" srcId="{29048B10-5ED5-4DC7-896A-B401F6C03AF2}" destId="{5A14D08E-9B4A-4582-8C58-7AD089783B7F}" srcOrd="0" destOrd="0" presId="urn:microsoft.com/office/officeart/2005/8/layout/bProcess4"/>
    <dgm:cxn modelId="{3AFC55B5-CED3-4678-959E-87BF049C9115}" type="presParOf" srcId="{29048B10-5ED5-4DC7-896A-B401F6C03AF2}" destId="{AFB31D54-AD73-4BB5-A3EB-D865A0FF4023}" srcOrd="1" destOrd="0" presId="urn:microsoft.com/office/officeart/2005/8/layout/bProcess4"/>
    <dgm:cxn modelId="{67F48EAE-9429-45E3-8597-F7F14BB2995E}" type="presParOf" srcId="{9343FBBE-6149-48C7-9CB9-F9537B2700E6}" destId="{B4394E1B-4652-43D3-BC4C-FAAC575008A9}" srcOrd="11" destOrd="0" presId="urn:microsoft.com/office/officeart/2005/8/layout/bProcess4"/>
    <dgm:cxn modelId="{24F8B3FF-AA57-4A65-A44F-101522462824}" type="presParOf" srcId="{9343FBBE-6149-48C7-9CB9-F9537B2700E6}" destId="{EB430788-D0FE-4CCE-9009-B9DD49633E88}" srcOrd="12" destOrd="0" presId="urn:microsoft.com/office/officeart/2005/8/layout/bProcess4"/>
    <dgm:cxn modelId="{B02B88E3-2C40-45CC-84EC-486F0593EE88}" type="presParOf" srcId="{EB430788-D0FE-4CCE-9009-B9DD49633E88}" destId="{A7654F80-FCB2-47D5-A9E6-4BECE947773C}" srcOrd="0" destOrd="0" presId="urn:microsoft.com/office/officeart/2005/8/layout/bProcess4"/>
    <dgm:cxn modelId="{80DB865F-DF8B-401D-A3DC-1001C19999F8}" type="presParOf" srcId="{EB430788-D0FE-4CCE-9009-B9DD49633E88}" destId="{DF2955F7-6D3F-4B16-B703-CF594F48237F}" srcOrd="1" destOrd="0" presId="urn:microsoft.com/office/officeart/2005/8/layout/bProcess4"/>
    <dgm:cxn modelId="{F8CD89BF-F08A-409D-8289-F561A93BC760}" type="presParOf" srcId="{9343FBBE-6149-48C7-9CB9-F9537B2700E6}" destId="{7DF863D4-AFB6-484D-9C9F-9B16A858E20F}" srcOrd="13" destOrd="0" presId="urn:microsoft.com/office/officeart/2005/8/layout/bProcess4"/>
    <dgm:cxn modelId="{ADB87DA4-6FB5-441E-8D17-961F06057755}" type="presParOf" srcId="{9343FBBE-6149-48C7-9CB9-F9537B2700E6}" destId="{221A782C-6698-4A67-B5A9-3819E4357D53}" srcOrd="14" destOrd="0" presId="urn:microsoft.com/office/officeart/2005/8/layout/bProcess4"/>
    <dgm:cxn modelId="{86DDCCBF-BA18-47E6-8E86-99DF89EEE609}" type="presParOf" srcId="{221A782C-6698-4A67-B5A9-3819E4357D53}" destId="{481E5B1C-391E-4896-9E70-1B20012D414F}" srcOrd="0" destOrd="0" presId="urn:microsoft.com/office/officeart/2005/8/layout/bProcess4"/>
    <dgm:cxn modelId="{4D748AEC-F4A2-48B5-961B-5922D8BC5EC4}" type="presParOf" srcId="{221A782C-6698-4A67-B5A9-3819E4357D53}" destId="{AFEEEF70-CCCF-4636-A964-404344D16708}" srcOrd="1" destOrd="0" presId="urn:microsoft.com/office/officeart/2005/8/layout/bProcess4"/>
    <dgm:cxn modelId="{E630B278-F044-4A8F-800F-1377A1813786}" type="presParOf" srcId="{9343FBBE-6149-48C7-9CB9-F9537B2700E6}" destId="{E060EA38-466F-4873-9EBA-42AB65AE4CF6}" srcOrd="15" destOrd="0" presId="urn:microsoft.com/office/officeart/2005/8/layout/bProcess4"/>
    <dgm:cxn modelId="{86FF23EC-0BC0-450B-B237-F1DDC2A082E7}" type="presParOf" srcId="{9343FBBE-6149-48C7-9CB9-F9537B2700E6}" destId="{10605FF1-D7B2-4136-A758-5186D6A171BF}" srcOrd="16" destOrd="0" presId="urn:microsoft.com/office/officeart/2005/8/layout/bProcess4"/>
    <dgm:cxn modelId="{FF91BCC3-547E-4501-8FAC-FA2AF86B6BF0}" type="presParOf" srcId="{10605FF1-D7B2-4136-A758-5186D6A171BF}" destId="{3525385F-2E3F-46A1-92B4-178FEE8C1898}" srcOrd="0" destOrd="0" presId="urn:microsoft.com/office/officeart/2005/8/layout/bProcess4"/>
    <dgm:cxn modelId="{7A8703A7-BE03-4241-A261-BE4C3A03DA4F}" type="presParOf" srcId="{10605FF1-D7B2-4136-A758-5186D6A171BF}" destId="{CC1B5ADF-1ABA-4984-8FC5-4BE2F329348A}" srcOrd="1" destOrd="0" presId="urn:microsoft.com/office/officeart/2005/8/layout/bProcess4"/>
    <dgm:cxn modelId="{965B6C99-ED2C-4FBC-9B27-457FEE978382}" type="presParOf" srcId="{9343FBBE-6149-48C7-9CB9-F9537B2700E6}" destId="{7E95C6FB-49FC-41F8-B872-EF61B83CAF38}" srcOrd="17" destOrd="0" presId="urn:microsoft.com/office/officeart/2005/8/layout/bProcess4"/>
    <dgm:cxn modelId="{2BD1C70F-2FBE-48F6-A5A3-73F3C3CC1144}" type="presParOf" srcId="{9343FBBE-6149-48C7-9CB9-F9537B2700E6}" destId="{5A585F22-84F8-4E99-BDC0-9FA4070A34AB}" srcOrd="18" destOrd="0" presId="urn:microsoft.com/office/officeart/2005/8/layout/bProcess4"/>
    <dgm:cxn modelId="{4A03FF54-C5F2-447A-9DD5-3655F9A297BC}" type="presParOf" srcId="{5A585F22-84F8-4E99-BDC0-9FA4070A34AB}" destId="{22AE7BC9-C4C9-4550-BAC4-5A289F3E9F8F}" srcOrd="0" destOrd="0" presId="urn:microsoft.com/office/officeart/2005/8/layout/bProcess4"/>
    <dgm:cxn modelId="{A47F38C3-1F0D-4957-8AFD-E647F71D53F7}" type="presParOf" srcId="{5A585F22-84F8-4E99-BDC0-9FA4070A34AB}" destId="{172F204F-64F9-4436-BD15-66B947391464}" srcOrd="1" destOrd="0" presId="urn:microsoft.com/office/officeart/2005/8/layout/bProcess4"/>
    <dgm:cxn modelId="{653D061B-D8A2-48A2-A7DF-039D8D9F385A}" type="presParOf" srcId="{9343FBBE-6149-48C7-9CB9-F9537B2700E6}" destId="{07CADE28-DC9C-4BAC-85A4-656E35D6A9AB}" srcOrd="19" destOrd="0" presId="urn:microsoft.com/office/officeart/2005/8/layout/bProcess4"/>
    <dgm:cxn modelId="{AEA7B1A0-67C1-4832-9232-9C303E8B315A}" type="presParOf" srcId="{9343FBBE-6149-48C7-9CB9-F9537B2700E6}" destId="{F6EF8362-0D18-4F61-BFA3-55FFC370B461}" srcOrd="20" destOrd="0" presId="urn:microsoft.com/office/officeart/2005/8/layout/bProcess4"/>
    <dgm:cxn modelId="{FDC3E46B-5C7E-454A-99F6-D5B1D8B982E2}" type="presParOf" srcId="{F6EF8362-0D18-4F61-BFA3-55FFC370B461}" destId="{C4527338-8ACF-464B-A28E-AEDB7E763BB6}" srcOrd="0" destOrd="0" presId="urn:microsoft.com/office/officeart/2005/8/layout/bProcess4"/>
    <dgm:cxn modelId="{802E14BB-EBBD-40CD-83D7-A5A1B13898CF}" type="presParOf" srcId="{F6EF8362-0D18-4F61-BFA3-55FFC370B461}" destId="{158B4C93-E9DD-497E-8F89-8F9D5FE03B68}" srcOrd="1" destOrd="0" presId="urn:microsoft.com/office/officeart/2005/8/layout/bProcess4"/>
    <dgm:cxn modelId="{E9BD0DD1-7EBB-4F1D-BCCD-D14C403EF6CB}" type="presParOf" srcId="{9343FBBE-6149-48C7-9CB9-F9537B2700E6}" destId="{658259E2-33C5-4243-8097-08F85166A6B1}" srcOrd="21" destOrd="0" presId="urn:microsoft.com/office/officeart/2005/8/layout/bProcess4"/>
    <dgm:cxn modelId="{817B53BB-808E-4B6C-94B0-574D64F2B924}" type="presParOf" srcId="{9343FBBE-6149-48C7-9CB9-F9537B2700E6}" destId="{D861BFEC-D153-4F2C-BC0C-77F04D185157}" srcOrd="22" destOrd="0" presId="urn:microsoft.com/office/officeart/2005/8/layout/bProcess4"/>
    <dgm:cxn modelId="{C5059D97-276B-48D9-906A-12ED5DACD313}" type="presParOf" srcId="{D861BFEC-D153-4F2C-BC0C-77F04D185157}" destId="{C742B167-1F43-467E-A870-1A6EF968EA18}" srcOrd="0" destOrd="0" presId="urn:microsoft.com/office/officeart/2005/8/layout/bProcess4"/>
    <dgm:cxn modelId="{FF7A0059-5508-46BB-874B-F2346259298D}" type="presParOf" srcId="{D861BFEC-D153-4F2C-BC0C-77F04D185157}" destId="{B292B7A8-B093-4501-905D-4F0E7D9349D6}" srcOrd="1" destOrd="0" presId="urn:microsoft.com/office/officeart/2005/8/layout/bProcess4"/>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D95A5E-608E-4434-B587-821CAE67732F}">
      <dsp:nvSpPr>
        <dsp:cNvPr id="0" name=""/>
        <dsp:cNvSpPr/>
      </dsp:nvSpPr>
      <dsp:spPr>
        <a:xfrm rot="5400000">
          <a:off x="588135"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C08D54-7B52-4BBA-ADA9-3C78592BB134}">
      <dsp:nvSpPr>
        <dsp:cNvPr id="0" name=""/>
        <dsp:cNvSpPr/>
      </dsp:nvSpPr>
      <dsp:spPr>
        <a:xfrm>
          <a:off x="793807"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Una base de conocimientos para la ingeniería</a:t>
          </a:r>
          <a:endParaRPr lang="es-CR" sz="1200" kern="1200" dirty="0">
            <a:latin typeface="Calibri Light" panose="020F0302020204030204" pitchFamily="34" charset="0"/>
            <a:cs typeface="Calibri Light" panose="020F0302020204030204" pitchFamily="34" charset="0"/>
          </a:endParaRPr>
        </a:p>
      </dsp:txBody>
      <dsp:txXfrm>
        <a:off x="793807" y="63"/>
        <a:ext cx="1216704" cy="730022"/>
      </dsp:txXfrm>
    </dsp:sp>
    <dsp:sp modelId="{34B5E7DD-B853-411E-8FDF-A485D0FBE4EE}">
      <dsp:nvSpPr>
        <dsp:cNvPr id="0" name=""/>
        <dsp:cNvSpPr/>
      </dsp:nvSpPr>
      <dsp:spPr>
        <a:xfrm rot="5400000">
          <a:off x="588135"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F9AFA7-62F8-46B9-9E74-97519023D618}">
      <dsp:nvSpPr>
        <dsp:cNvPr id="0" name=""/>
        <dsp:cNvSpPr/>
      </dsp:nvSpPr>
      <dsp:spPr>
        <a:xfrm>
          <a:off x="793807"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Habilidad analítica</a:t>
          </a:r>
          <a:endParaRPr lang="es-CR" sz="1200" kern="1200" dirty="0">
            <a:latin typeface="Calibri Light" panose="020F0302020204030204" pitchFamily="34" charset="0"/>
            <a:cs typeface="Calibri Light" panose="020F0302020204030204" pitchFamily="34" charset="0"/>
          </a:endParaRPr>
        </a:p>
      </dsp:txBody>
      <dsp:txXfrm>
        <a:off x="793807" y="912591"/>
        <a:ext cx="1216704" cy="730022"/>
      </dsp:txXfrm>
    </dsp:sp>
    <dsp:sp modelId="{3EF63115-872E-42A7-B7AF-CFFAA52CDFC6}">
      <dsp:nvSpPr>
        <dsp:cNvPr id="0" name=""/>
        <dsp:cNvSpPr/>
      </dsp:nvSpPr>
      <dsp:spPr>
        <a:xfrm rot="5400000">
          <a:off x="588135"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29ECDC-2992-45B3-8C28-320F44AEAB31}">
      <dsp:nvSpPr>
        <dsp:cNvPr id="0" name=""/>
        <dsp:cNvSpPr/>
      </dsp:nvSpPr>
      <dsp:spPr>
        <a:xfrm>
          <a:off x="793807"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Investigación</a:t>
          </a:r>
          <a:endParaRPr lang="es-CR" sz="1200" kern="1200" dirty="0">
            <a:latin typeface="Calibri Light" panose="020F0302020204030204" pitchFamily="34" charset="0"/>
            <a:cs typeface="Calibri Light" panose="020F0302020204030204" pitchFamily="34" charset="0"/>
          </a:endParaRPr>
        </a:p>
      </dsp:txBody>
      <dsp:txXfrm>
        <a:off x="793807" y="1825120"/>
        <a:ext cx="1216704" cy="730022"/>
      </dsp:txXfrm>
    </dsp:sp>
    <dsp:sp modelId="{5931481F-5DE2-453D-BF1D-14EB26DA3736}">
      <dsp:nvSpPr>
        <dsp:cNvPr id="0" name=""/>
        <dsp:cNvSpPr/>
      </dsp:nvSpPr>
      <dsp:spPr>
        <a:xfrm>
          <a:off x="1044399" y="2862944"/>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CB3F15-FE58-47C2-8B26-9A904F8D7093}">
      <dsp:nvSpPr>
        <dsp:cNvPr id="0" name=""/>
        <dsp:cNvSpPr/>
      </dsp:nvSpPr>
      <dsp:spPr>
        <a:xfrm>
          <a:off x="793807"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Diseño</a:t>
          </a:r>
          <a:endParaRPr lang="es-CR" sz="1200" kern="1200" dirty="0">
            <a:latin typeface="Calibri Light" panose="020F0302020204030204" pitchFamily="34" charset="0"/>
            <a:cs typeface="Calibri Light" panose="020F0302020204030204" pitchFamily="34" charset="0"/>
          </a:endParaRPr>
        </a:p>
      </dsp:txBody>
      <dsp:txXfrm>
        <a:off x="793807" y="2737648"/>
        <a:ext cx="1216704" cy="730022"/>
      </dsp:txXfrm>
    </dsp:sp>
    <dsp:sp modelId="{81B19432-167F-434D-AC08-3FE0C4BE3670}">
      <dsp:nvSpPr>
        <dsp:cNvPr id="0" name=""/>
        <dsp:cNvSpPr/>
      </dsp:nvSpPr>
      <dsp:spPr>
        <a:xfrm rot="16200000">
          <a:off x="2206352"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4271BD-7AE8-40F5-8DA0-CDD9723A885C}">
      <dsp:nvSpPr>
        <dsp:cNvPr id="0" name=""/>
        <dsp:cNvSpPr/>
      </dsp:nvSpPr>
      <dsp:spPr>
        <a:xfrm>
          <a:off x="2412025"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Uso de herramientas de ingeniería</a:t>
          </a:r>
          <a:endParaRPr lang="es-CR" sz="1200" kern="1200" dirty="0">
            <a:latin typeface="Calibri Light" panose="020F0302020204030204" pitchFamily="34" charset="0"/>
            <a:cs typeface="Calibri Light" panose="020F0302020204030204" pitchFamily="34" charset="0"/>
          </a:endParaRPr>
        </a:p>
      </dsp:txBody>
      <dsp:txXfrm>
        <a:off x="2412025" y="2737648"/>
        <a:ext cx="1216704" cy="730022"/>
      </dsp:txXfrm>
    </dsp:sp>
    <dsp:sp modelId="{B4394E1B-4652-43D3-BC4C-FAAC575008A9}">
      <dsp:nvSpPr>
        <dsp:cNvPr id="0" name=""/>
        <dsp:cNvSpPr/>
      </dsp:nvSpPr>
      <dsp:spPr>
        <a:xfrm rot="16200000">
          <a:off x="2206352"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B31D54-AD73-4BB5-A3EB-D865A0FF4023}">
      <dsp:nvSpPr>
        <dsp:cNvPr id="0" name=""/>
        <dsp:cNvSpPr/>
      </dsp:nvSpPr>
      <dsp:spPr>
        <a:xfrm>
          <a:off x="2412025"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Compromiso con la sostenibilidad</a:t>
          </a:r>
          <a:endParaRPr lang="es-CR" sz="1200" kern="1200" dirty="0">
            <a:latin typeface="Calibri Light" panose="020F0302020204030204" pitchFamily="34" charset="0"/>
            <a:cs typeface="Calibri Light" panose="020F0302020204030204" pitchFamily="34" charset="0"/>
          </a:endParaRPr>
        </a:p>
      </dsp:txBody>
      <dsp:txXfrm>
        <a:off x="2412025" y="1825120"/>
        <a:ext cx="1216704" cy="730022"/>
      </dsp:txXfrm>
    </dsp:sp>
    <dsp:sp modelId="{7DF863D4-AFB6-484D-9C9F-9B16A858E20F}">
      <dsp:nvSpPr>
        <dsp:cNvPr id="0" name=""/>
        <dsp:cNvSpPr/>
      </dsp:nvSpPr>
      <dsp:spPr>
        <a:xfrm rot="16200000">
          <a:off x="2206352"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2955F7-6D3F-4B16-B703-CF594F48237F}">
      <dsp:nvSpPr>
        <dsp:cNvPr id="0" name=""/>
        <dsp:cNvSpPr/>
      </dsp:nvSpPr>
      <dsp:spPr>
        <a:xfrm>
          <a:off x="2412025" y="912591"/>
          <a:ext cx="1216704" cy="730022"/>
        </a:xfrm>
        <a:prstGeom prst="roundRect">
          <a:avLst>
            <a:gd name="adj" fmla="val 10000"/>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Ingeniería económica y gestión de proyectos</a:t>
          </a:r>
          <a:endParaRPr lang="es-CR" sz="1200" kern="1200" dirty="0">
            <a:latin typeface="Calibri Light" panose="020F0302020204030204" pitchFamily="34" charset="0"/>
            <a:cs typeface="Calibri Light" panose="020F0302020204030204" pitchFamily="34" charset="0"/>
          </a:endParaRPr>
        </a:p>
      </dsp:txBody>
      <dsp:txXfrm>
        <a:off x="2412025" y="912591"/>
        <a:ext cx="1216704" cy="730022"/>
      </dsp:txXfrm>
    </dsp:sp>
    <dsp:sp modelId="{E060EA38-466F-4873-9EBA-42AB65AE4CF6}">
      <dsp:nvSpPr>
        <dsp:cNvPr id="0" name=""/>
        <dsp:cNvSpPr/>
      </dsp:nvSpPr>
      <dsp:spPr>
        <a:xfrm>
          <a:off x="2662617" y="125359"/>
          <a:ext cx="1610966"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EEEF70-CCCF-4636-A964-404344D16708}">
      <dsp:nvSpPr>
        <dsp:cNvPr id="0" name=""/>
        <dsp:cNvSpPr/>
      </dsp:nvSpPr>
      <dsp:spPr>
        <a:xfrm>
          <a:off x="2412025"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Ética y equidad</a:t>
          </a:r>
          <a:endParaRPr lang="es-CR" sz="1200" kern="1200" dirty="0">
            <a:latin typeface="Calibri Light" panose="020F0302020204030204" pitchFamily="34" charset="0"/>
            <a:cs typeface="Calibri Light" panose="020F0302020204030204" pitchFamily="34" charset="0"/>
          </a:endParaRPr>
        </a:p>
      </dsp:txBody>
      <dsp:txXfrm>
        <a:off x="2412025" y="63"/>
        <a:ext cx="1216704" cy="730022"/>
      </dsp:txXfrm>
    </dsp:sp>
    <dsp:sp modelId="{7E95C6FB-49FC-41F8-B872-EF61B83CAF38}">
      <dsp:nvSpPr>
        <dsp:cNvPr id="0" name=""/>
        <dsp:cNvSpPr/>
      </dsp:nvSpPr>
      <dsp:spPr>
        <a:xfrm rot="5400000">
          <a:off x="3824570" y="581623"/>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1B5ADF-1ABA-4984-8FC5-4BE2F329348A}">
      <dsp:nvSpPr>
        <dsp:cNvPr id="0" name=""/>
        <dsp:cNvSpPr/>
      </dsp:nvSpPr>
      <dsp:spPr>
        <a:xfrm>
          <a:off x="4030242" y="63"/>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Aprendizaje continuo para la vida</a:t>
          </a:r>
          <a:endParaRPr lang="es-CR" sz="1200" kern="1200" dirty="0">
            <a:latin typeface="Calibri Light" panose="020F0302020204030204" pitchFamily="34" charset="0"/>
            <a:cs typeface="Calibri Light" panose="020F0302020204030204" pitchFamily="34" charset="0"/>
          </a:endParaRPr>
        </a:p>
      </dsp:txBody>
      <dsp:txXfrm>
        <a:off x="4030242" y="63"/>
        <a:ext cx="1216704" cy="730022"/>
      </dsp:txXfrm>
    </dsp:sp>
    <dsp:sp modelId="{07CADE28-DC9C-4BAC-85A4-656E35D6A9AB}">
      <dsp:nvSpPr>
        <dsp:cNvPr id="0" name=""/>
        <dsp:cNvSpPr/>
      </dsp:nvSpPr>
      <dsp:spPr>
        <a:xfrm rot="5400000">
          <a:off x="3824570" y="1494152"/>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2F204F-64F9-4436-BD15-66B947391464}">
      <dsp:nvSpPr>
        <dsp:cNvPr id="0" name=""/>
        <dsp:cNvSpPr/>
      </dsp:nvSpPr>
      <dsp:spPr>
        <a:xfrm>
          <a:off x="4030242" y="912591"/>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Trabajo individual y en equipo</a:t>
          </a:r>
          <a:endParaRPr lang="es-CR" sz="1200" kern="1200" dirty="0">
            <a:latin typeface="Calibri Light" panose="020F0302020204030204" pitchFamily="34" charset="0"/>
            <a:cs typeface="Calibri Light" panose="020F0302020204030204" pitchFamily="34" charset="0"/>
          </a:endParaRPr>
        </a:p>
      </dsp:txBody>
      <dsp:txXfrm>
        <a:off x="4030242" y="912591"/>
        <a:ext cx="1216704" cy="730022"/>
      </dsp:txXfrm>
    </dsp:sp>
    <dsp:sp modelId="{658259E2-33C5-4243-8097-08F85166A6B1}">
      <dsp:nvSpPr>
        <dsp:cNvPr id="0" name=""/>
        <dsp:cNvSpPr/>
      </dsp:nvSpPr>
      <dsp:spPr>
        <a:xfrm rot="5400000">
          <a:off x="3824570" y="2406680"/>
          <a:ext cx="905277" cy="10950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8B4C93-E9DD-497E-8F89-8F9D5FE03B68}">
      <dsp:nvSpPr>
        <dsp:cNvPr id="0" name=""/>
        <dsp:cNvSpPr/>
      </dsp:nvSpPr>
      <dsp:spPr>
        <a:xfrm>
          <a:off x="4030242" y="1825120"/>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Capacidad de comunicación</a:t>
          </a:r>
          <a:endParaRPr lang="es-CR" sz="1200" kern="1200" dirty="0">
            <a:latin typeface="Calibri Light" panose="020F0302020204030204" pitchFamily="34" charset="0"/>
            <a:cs typeface="Calibri Light" panose="020F0302020204030204" pitchFamily="34" charset="0"/>
          </a:endParaRPr>
        </a:p>
      </dsp:txBody>
      <dsp:txXfrm>
        <a:off x="4030242" y="1825120"/>
        <a:ext cx="1216704" cy="730022"/>
      </dsp:txXfrm>
    </dsp:sp>
    <dsp:sp modelId="{B292B7A8-B093-4501-905D-4F0E7D9349D6}">
      <dsp:nvSpPr>
        <dsp:cNvPr id="0" name=""/>
        <dsp:cNvSpPr/>
      </dsp:nvSpPr>
      <dsp:spPr>
        <a:xfrm>
          <a:off x="4030242" y="2737648"/>
          <a:ext cx="1216704" cy="73002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b="0" i="0" u="none" kern="1200" dirty="0">
              <a:latin typeface="Calibri Light" panose="020F0302020204030204" pitchFamily="34" charset="0"/>
              <a:cs typeface="Calibri Light" panose="020F0302020204030204" pitchFamily="34" charset="0"/>
            </a:rPr>
            <a:t>Profesionalismo</a:t>
          </a:r>
          <a:endParaRPr lang="es-CR" sz="1200" kern="1200" dirty="0">
            <a:latin typeface="Calibri Light" panose="020F0302020204030204" pitchFamily="34" charset="0"/>
            <a:cs typeface="Calibri Light" panose="020F0302020204030204" pitchFamily="34" charset="0"/>
          </a:endParaRPr>
        </a:p>
      </dsp:txBody>
      <dsp:txXfrm>
        <a:off x="4030242" y="2737648"/>
        <a:ext cx="1216704" cy="73002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26165823-87B4-411B-AA79-125BA046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2431</Words>
  <Characters>13374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Usuario</cp:lastModifiedBy>
  <cp:revision>2</cp:revision>
  <cp:lastPrinted>2011-03-10T20:44:00Z</cp:lastPrinted>
  <dcterms:created xsi:type="dcterms:W3CDTF">2018-06-01T19:46:00Z</dcterms:created>
  <dcterms:modified xsi:type="dcterms:W3CDTF">2018-06-01T19:46:00Z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AGMBP INGENIEROS CONSULTORES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